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266756526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5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456334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04.05.2026</w:t>
                </w:r>
              </w:p>
            </w:tc>
          </w:sdtContent>
        </w:sdt>
        <w:permEnd w:id="266756526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753681225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456334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168</w:t>
                </w:r>
                <w:r w:rsidR="001870BE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753681225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1106491" w:edGrp="everyone" w:displacedByCustomXml="next"/>
        <w:sdt>
          <w:sdtPr>
            <w:rPr>
              <w:b/>
              <w:color w:val="000000"/>
              <w:sz w:val="28"/>
              <w:szCs w:val="28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1870BE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1870BE">
                  <w:rPr>
                    <w:b/>
                    <w:color w:val="000000"/>
                    <w:sz w:val="28"/>
                    <w:szCs w:val="28"/>
                  </w:rPr>
                  <w:t>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округа Табунский район Алтайского края</w:t>
                </w:r>
              </w:p>
            </w:tc>
          </w:sdtContent>
        </w:sdt>
        <w:permEnd w:id="11106491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641431226" w:edGrp="everyone"/>
    <w:p w:rsidR="00830E27" w:rsidRDefault="00303EEE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sdt>
            <w:sdtPr>
              <w:rPr>
                <w:rStyle w:val="31"/>
              </w:rPr>
              <w:alias w:val="Констатирующая часть"/>
              <w:tag w:val="Констатирующая часть"/>
              <w:id w:val="1092664912"/>
              <w:placeholder>
                <w:docPart w:val="E5171940768C4F00B021F91FE473E79D"/>
              </w:placeholder>
            </w:sdtPr>
            <w:sdtEndPr>
              <w:rPr>
                <w:rStyle w:val="31"/>
              </w:rPr>
            </w:sdtEndPr>
            <w:sdtContent>
              <w:r w:rsidR="001870BE">
                <w:rPr>
                  <w:rStyle w:val="31"/>
                </w:rPr>
                <w:t xml:space="preserve"> </w:t>
              </w:r>
              <w:r w:rsidR="001870BE">
                <w:t xml:space="preserve"> </w:t>
              </w:r>
              <w:r w:rsidR="001870BE">
                <w:rPr>
                  <w:sz w:val="28"/>
                  <w:szCs w:val="28"/>
                </w:rPr>
                <w:t>Во исполнение Указа Президента Российской Федерации от 21.12.2017 № 618 «Об основных направлениях государственной политики по развитию конкуренции» и на основании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      </w:r>
            </w:sdtContent>
          </w:sdt>
        </w:sdtContent>
      </w:sdt>
      <w:permEnd w:id="1641431226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410331268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1870BE" w:rsidRPr="00DB6D26" w:rsidRDefault="001870BE" w:rsidP="001870BE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rStyle w:val="31"/>
              <w:szCs w:val="28"/>
            </w:rPr>
          </w:pPr>
          <w:r>
            <w:rPr>
              <w:rStyle w:val="31"/>
            </w:rPr>
            <w:t>Создать в Администрации муниципального округа Табунский район Алтайского края систему внутреннего обеспечения соответствия требованиям антимонопольного законодательства (антимонопольный комплаенс).</w:t>
          </w:r>
        </w:p>
        <w:p w:rsidR="001870BE" w:rsidRPr="00DB6D26" w:rsidRDefault="001870BE" w:rsidP="001870BE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rStyle w:val="31"/>
              <w:szCs w:val="28"/>
            </w:rPr>
          </w:pPr>
          <w:r>
            <w:rPr>
              <w:rStyle w:val="31"/>
            </w:rPr>
            <w:t>Утвердить прилагаемое Положение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округа Табунский район Алтайского края.</w:t>
          </w:r>
        </w:p>
        <w:p w:rsidR="001870BE" w:rsidRPr="00DB6D26" w:rsidRDefault="001870BE" w:rsidP="001870BE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rStyle w:val="31"/>
              <w:szCs w:val="28"/>
            </w:rPr>
          </w:pPr>
          <w:r>
            <w:rPr>
              <w:rStyle w:val="31"/>
            </w:rPr>
            <w:t>Заместителям главы администрации муниципального округа, руководит</w:t>
          </w:r>
          <w:r w:rsidR="00FB1D9A">
            <w:rPr>
              <w:rStyle w:val="31"/>
            </w:rPr>
            <w:t>елям структурных подразделений А</w:t>
          </w:r>
          <w:r>
            <w:rPr>
              <w:rStyle w:val="31"/>
            </w:rPr>
            <w:t xml:space="preserve">дминистрации муниципального округа обеспечить соблюдение подчиненными сотрудниками требований </w:t>
          </w:r>
          <w:r w:rsidRPr="00DB6D26">
            <w:rPr>
              <w:rStyle w:val="31"/>
            </w:rPr>
            <w:t>Положения об организации системы внутреннего обеспечения соответствия требованиям антимонопольного законодательства (</w:t>
          </w:r>
          <w:r>
            <w:rPr>
              <w:rStyle w:val="31"/>
            </w:rPr>
            <w:t>антимонопольного комплаенса) в А</w:t>
          </w:r>
          <w:r w:rsidRPr="00DB6D26">
            <w:rPr>
              <w:rStyle w:val="31"/>
            </w:rPr>
            <w:t>дминистрации муниципального округа Табунский район Алтайского края</w:t>
          </w:r>
          <w:r>
            <w:rPr>
              <w:rStyle w:val="31"/>
            </w:rPr>
            <w:t>.</w:t>
          </w:r>
        </w:p>
        <w:p w:rsidR="001870BE" w:rsidRPr="00DB6D26" w:rsidRDefault="001870BE" w:rsidP="001870BE">
          <w:pPr>
            <w:pStyle w:val="ab"/>
            <w:numPr>
              <w:ilvl w:val="0"/>
              <w:numId w:val="29"/>
            </w:numPr>
            <w:tabs>
              <w:tab w:val="left" w:pos="993"/>
            </w:tabs>
            <w:ind w:left="357" w:hanging="357"/>
            <w:jc w:val="both"/>
            <w:rPr>
              <w:rStyle w:val="31"/>
              <w:szCs w:val="28"/>
            </w:rPr>
          </w:pPr>
          <w:r>
            <w:rPr>
              <w:rStyle w:val="31"/>
            </w:rPr>
            <w:t>Управляющему делами обеспечить ознакомление служащих с настоящим постановлением.</w:t>
          </w:r>
        </w:p>
        <w:p w:rsidR="001870BE" w:rsidRDefault="001870BE" w:rsidP="001870BE">
          <w:pPr>
            <w:pStyle w:val="a6"/>
            <w:numPr>
              <w:ilvl w:val="0"/>
              <w:numId w:val="29"/>
            </w:numPr>
            <w:ind w:left="357" w:hanging="357"/>
            <w:rPr>
              <w:rStyle w:val="31"/>
            </w:rPr>
          </w:pPr>
          <w:r w:rsidRPr="00CE522C">
            <w:rPr>
              <w:rStyle w:val="31"/>
            </w:rPr>
            <w:t>Настоящее постановление опубликовать в установленном порядке и разместить на официальном сайте admtabrn.gosuslugi.ru в информационно-телекоммуникационной сети «Интернет»</w:t>
          </w:r>
          <w:r>
            <w:rPr>
              <w:rStyle w:val="31"/>
            </w:rPr>
            <w:t xml:space="preserve">. </w:t>
          </w:r>
        </w:p>
        <w:p w:rsidR="00A40ABB" w:rsidRDefault="00A40ABB" w:rsidP="00A40ABB">
          <w:pPr>
            <w:pStyle w:val="a6"/>
            <w:numPr>
              <w:ilvl w:val="0"/>
              <w:numId w:val="29"/>
            </w:numPr>
            <w:rPr>
              <w:rStyle w:val="31"/>
            </w:rPr>
          </w:pPr>
          <w:r>
            <w:rPr>
              <w:rStyle w:val="31"/>
            </w:rPr>
            <w:lastRenderedPageBreak/>
            <w:t>Признать утратившим силу постановление администрации Табунского района Алтайского края от 24.08.2020 № 244 «</w:t>
          </w:r>
          <w:r w:rsidRPr="00A40ABB">
            <w:rPr>
              <w:rStyle w:val="31"/>
            </w:rPr>
            <w:t>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Табунского района Алтайского края</w:t>
          </w:r>
          <w:r>
            <w:rPr>
              <w:rStyle w:val="31"/>
            </w:rPr>
            <w:t>».</w:t>
          </w:r>
        </w:p>
        <w:p w:rsidR="001870BE" w:rsidRDefault="001870BE" w:rsidP="001870BE">
          <w:pPr>
            <w:pStyle w:val="a6"/>
            <w:ind w:left="357" w:firstLine="0"/>
            <w:rPr>
              <w:rStyle w:val="31"/>
            </w:rPr>
          </w:pPr>
        </w:p>
        <w:p w:rsidR="00C17F7F" w:rsidRPr="003A48C2" w:rsidRDefault="001870BE" w:rsidP="003A48C2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  <w:r>
            <w:rPr>
              <w:rStyle w:val="31"/>
            </w:rPr>
            <w:t>Контроль за исполнением настоящего постановления оставляю за собой.</w:t>
          </w:r>
        </w:p>
      </w:sdtContent>
    </w:sdt>
    <w:permEnd w:id="410331268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2048809959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1870BE" w:rsidP="008C4C1D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2048809959" w:displacedByCustomXml="prev"/>
        <w:permStart w:id="656693337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1870BE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656693337" w:displacedByCustomXml="prev"/>
      </w:tr>
    </w:tbl>
    <w:p w:rsidR="001938D2" w:rsidRDefault="001938D2" w:rsidP="000A1BD6">
      <w:pPr>
        <w:rPr>
          <w:sz w:val="28"/>
          <w:szCs w:val="28"/>
        </w:rPr>
        <w:sectPr w:rsidR="001938D2" w:rsidSect="007652E6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938D2" w:rsidRPr="006638B4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986515707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5019FD43519E4BDC8A9A12273365C8F4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986515707"/>
    </w:p>
    <w:p w:rsidR="001938D2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900734204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4044E2137FAE433CBBE43E0EA89EC0EA"/>
          </w:placeholder>
          <w:date w:fullDate="2026-05-04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56334">
            <w:rPr>
              <w:sz w:val="28"/>
              <w:szCs w:val="28"/>
            </w:rPr>
            <w:t>04.05.2026</w:t>
          </w:r>
        </w:sdtContent>
      </w:sdt>
      <w:permEnd w:id="900734204"/>
      <w:r w:rsidRPr="006638B4">
        <w:rPr>
          <w:sz w:val="28"/>
          <w:szCs w:val="28"/>
        </w:rPr>
        <w:t xml:space="preserve"> № </w:t>
      </w:r>
      <w:permStart w:id="861890267" w:edGrp="everyone"/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65A5354BD24245DC96DDFEA8512BF2DB"/>
          </w:placeholder>
          <w:text/>
        </w:sdtPr>
        <w:sdtEndPr/>
        <w:sdtContent>
          <w:r w:rsidR="00456334">
            <w:rPr>
              <w:sz w:val="28"/>
              <w:szCs w:val="28"/>
            </w:rPr>
            <w:t>168</w:t>
          </w:r>
          <w:r>
            <w:rPr>
              <w:sz w:val="28"/>
              <w:szCs w:val="28"/>
            </w:rPr>
            <w:t xml:space="preserve"> </w:t>
          </w:r>
        </w:sdtContent>
      </w:sdt>
      <w:permEnd w:id="861890267"/>
    </w:p>
    <w:p w:rsidR="001938D2" w:rsidRDefault="001938D2" w:rsidP="001938D2">
      <w:pPr>
        <w:rPr>
          <w:sz w:val="28"/>
          <w:szCs w:val="28"/>
        </w:rPr>
      </w:pPr>
    </w:p>
    <w:permStart w:id="314736538" w:edGrp="everyone" w:displacedByCustomXml="next"/>
    <w:sdt>
      <w:sdtPr>
        <w:rPr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D6BDF5CAC1B64FA290D547B40EF7A82D"/>
        </w:placeholder>
      </w:sdtPr>
      <w:sdtEndPr/>
      <w:sdtContent>
        <w:p w:rsidR="001938D2" w:rsidRDefault="008C4C1D" w:rsidP="008C4C1D">
          <w:pPr>
            <w:jc w:val="center"/>
            <w:rPr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Положение</w:t>
          </w:r>
          <w:r w:rsidRPr="001870BE">
            <w:rPr>
              <w:b/>
              <w:color w:val="000000"/>
              <w:sz w:val="28"/>
              <w:szCs w:val="28"/>
            </w:rPr>
            <w:t xml:space="preserve">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округа Табунский район Алтайского края</w:t>
          </w:r>
        </w:p>
      </w:sdtContent>
    </w:sdt>
    <w:p w:rsidR="008C4C1D" w:rsidRDefault="008C4C1D" w:rsidP="008C4C1D">
      <w:pPr>
        <w:jc w:val="center"/>
        <w:rPr>
          <w:sz w:val="28"/>
          <w:szCs w:val="28"/>
        </w:rPr>
      </w:pPr>
    </w:p>
    <w:p w:rsidR="008C4C1D" w:rsidRDefault="008C4C1D" w:rsidP="008C4C1D">
      <w:pPr>
        <w:jc w:val="center"/>
        <w:rPr>
          <w:sz w:val="28"/>
          <w:szCs w:val="28"/>
        </w:rPr>
      </w:pPr>
    </w:p>
    <w:p w:rsidR="008C4C1D" w:rsidRDefault="008C4C1D" w:rsidP="008C4C1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8C4C1D" w:rsidRDefault="008C4C1D" w:rsidP="008C4C1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об организации в Администрации </w:t>
      </w:r>
      <w:r w:rsidR="007869F9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Табунск</w:t>
      </w:r>
      <w:r w:rsidR="007869F9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Алтайского края (далее - администрация) системы внутреннего обеспечения соответствия требованиям антимонопольного законодательства (антимонопольного комплаенса) разработано в целях обеспечения соответствия деятельности администрации требованиям антимонопольного законодательства и профилактики нарушений требований антимонопольного законодательства.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Для целей Положения об организации в администрации системы внутреннего обеспечения соответствия требованиям антимонопольного законодательства (антимонопольного комплаенса) (далее - положение) используются следующие понятия: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антимонопольное законодательство - законодательство, основывающееся на Конституции Российской Федерации, Гражданском кодексе Российской Федерации и состоящее из Федерального закона от 26.07.2006 № 135-ФЗ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антимонопольный комплаенс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об антимонопольном комплаенсе - документ, содержащий информацию об организации и функционировании антимонопольного комплаенса в администрации;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коллегиальный орган – совещательный орган, осуществляющий оценку эффективности функционирования антимонопольного комплаенса; </w:t>
      </w:r>
    </w:p>
    <w:p w:rsidR="008C4C1D" w:rsidRDefault="008C4C1D" w:rsidP="00907D52">
      <w:pPr>
        <w:pStyle w:val="Default"/>
        <w:pageBreakBefor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нарушение антимонопольного законодательства - недопущение, ограничение, устранение конкуренции;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нарушения антимонопольного законодательства (комплаенс-риски) -сочетание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подразделение - подразделение администрации, осуществляющие функции по организации, функционированию и контролю за исполнением антимонопольного комплаенса. </w:t>
      </w:r>
    </w:p>
    <w:p w:rsidR="00FB4FE5" w:rsidRPr="002F2AD5" w:rsidRDefault="00FB4FE5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отчетный год-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2F2AD5">
        <w:rPr>
          <w:color w:val="333333"/>
          <w:sz w:val="28"/>
          <w:szCs w:val="28"/>
          <w:shd w:val="clear" w:color="auto" w:fill="FFFFFF"/>
        </w:rPr>
        <w:t>период времени</w:t>
      </w:r>
      <w:r w:rsidR="002F2AD5">
        <w:rPr>
          <w:color w:val="333333"/>
          <w:sz w:val="28"/>
          <w:szCs w:val="28"/>
          <w:shd w:val="clear" w:color="auto" w:fill="FFFFFF"/>
        </w:rPr>
        <w:t xml:space="preserve"> (календарный год)</w:t>
      </w:r>
      <w:r w:rsidRPr="002F2AD5">
        <w:rPr>
          <w:color w:val="333333"/>
          <w:sz w:val="28"/>
          <w:szCs w:val="28"/>
          <w:shd w:val="clear" w:color="auto" w:fill="FFFFFF"/>
        </w:rPr>
        <w:t>, за который собираются данные для анализа</w:t>
      </w:r>
      <w:r w:rsidR="002F2AD5">
        <w:rPr>
          <w:color w:val="333333"/>
          <w:sz w:val="28"/>
          <w:szCs w:val="28"/>
          <w:shd w:val="clear" w:color="auto" w:fill="FFFFFF"/>
        </w:rPr>
        <w:t>.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Задачи антимонопольного комплаенса: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выявление комплаенс-рисков;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управление комплаенс-рисками;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контроль за соответствием деятельности администрации требованиям антимонопольного законодательства;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оценка эффективности функционирования в администрации антимонопольного комплаенса.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 организации антимонопольного комплаенса администрация руководствуется следующими принципами: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заинтересованность руководства администрации в эффективности антимонопольного комплаенса;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регулярность оценки комплаенс-рисков;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информационная открытость функционирования в администрации антимонопольного комплаенса;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непрерывность функционирования антимонопольного комплаенса; 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совершенствование антимонопольного комплаенса. </w:t>
      </w:r>
    </w:p>
    <w:p w:rsidR="00907D52" w:rsidRDefault="00907D52" w:rsidP="00907D52">
      <w:pPr>
        <w:pStyle w:val="Default"/>
        <w:ind w:firstLine="720"/>
        <w:jc w:val="both"/>
        <w:rPr>
          <w:sz w:val="28"/>
          <w:szCs w:val="28"/>
        </w:rPr>
      </w:pPr>
    </w:p>
    <w:p w:rsidR="008C4C1D" w:rsidRDefault="008C4C1D" w:rsidP="00907D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II. Организация антимонопольного комплаенса</w:t>
      </w:r>
    </w:p>
    <w:p w:rsidR="008C4C1D" w:rsidRDefault="008C4C1D" w:rsidP="00907D5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Общий контроль организации антимонопольного комплаенса и обеспечения его функционирования осуществляется главой </w:t>
      </w:r>
      <w:r w:rsidR="00907D5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: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утверждает акт об антимонопольном комплаенсе, а также принимает внутренние документы, регламентирующие реализацию антимонопольного комплаенса;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нарушение сотрудниками администрации правил антимонопольного комплаенса;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осуществляет контроль за устранением выявленных недостатков антимонопольного комплаенса;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утверждает карту комплаенс-рисков администрации;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утверждает ключевые показатели эффективности антимонопольного комплаенса;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ж) утверждает план мероприятий («дорожную карту») по снижению комплаенс-рисков администрации; </w:t>
      </w:r>
    </w:p>
    <w:p w:rsidR="00CE78AE" w:rsidRDefault="00CE78AE" w:rsidP="00FB1D9A">
      <w:pPr>
        <w:pStyle w:val="Default"/>
        <w:ind w:firstLine="720"/>
        <w:jc w:val="both"/>
        <w:rPr>
          <w:sz w:val="28"/>
          <w:szCs w:val="28"/>
        </w:rPr>
      </w:pPr>
      <w:r w:rsidRPr="00CE78AE">
        <w:rPr>
          <w:sz w:val="28"/>
          <w:szCs w:val="28"/>
        </w:rPr>
        <w:t>з) подписывает доклад об антимонопольном комплаенсе, утверждаемый коллегиальным органом, осуществляющим оценку эфф</w:t>
      </w:r>
      <w:r w:rsidR="007869F9">
        <w:rPr>
          <w:sz w:val="28"/>
          <w:szCs w:val="28"/>
        </w:rPr>
        <w:t>е</w:t>
      </w:r>
      <w:r w:rsidRPr="00CE78AE">
        <w:rPr>
          <w:sz w:val="28"/>
          <w:szCs w:val="28"/>
        </w:rPr>
        <w:t>ктивности организации и функционирования антимонопольного комплаенса (далее – коллеги</w:t>
      </w:r>
      <w:r w:rsidR="007869F9">
        <w:rPr>
          <w:sz w:val="28"/>
          <w:szCs w:val="28"/>
        </w:rPr>
        <w:t>а</w:t>
      </w:r>
      <w:r w:rsidRPr="00CE78AE">
        <w:rPr>
          <w:sz w:val="28"/>
          <w:szCs w:val="28"/>
        </w:rPr>
        <w:t>льный орган).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уполномоченного подразделения, связанные с организацией, функционированием и контролем за исполнением антимонопольного комплаенса, распределяются между структурными подразделениями администрации: </w:t>
      </w:r>
      <w:r w:rsidR="00FB1D9A">
        <w:rPr>
          <w:sz w:val="28"/>
          <w:szCs w:val="28"/>
        </w:rPr>
        <w:t>юридическим отделом</w:t>
      </w:r>
      <w:r>
        <w:rPr>
          <w:sz w:val="28"/>
          <w:szCs w:val="28"/>
        </w:rPr>
        <w:t xml:space="preserve">, </w:t>
      </w:r>
      <w:r w:rsidR="00FB1D9A">
        <w:rPr>
          <w:sz w:val="28"/>
          <w:szCs w:val="28"/>
        </w:rPr>
        <w:t>к</w:t>
      </w:r>
      <w:r w:rsidR="00FB1D9A" w:rsidRPr="00460F4C">
        <w:rPr>
          <w:sz w:val="28"/>
          <w:szCs w:val="28"/>
        </w:rPr>
        <w:t>омитет</w:t>
      </w:r>
      <w:r w:rsidR="00FB1D9A">
        <w:rPr>
          <w:sz w:val="28"/>
          <w:szCs w:val="28"/>
        </w:rPr>
        <w:t>ом</w:t>
      </w:r>
      <w:r w:rsidR="00FB1D9A" w:rsidRPr="00572E66">
        <w:rPr>
          <w:color w:val="C0504D"/>
          <w:sz w:val="28"/>
          <w:szCs w:val="28"/>
        </w:rPr>
        <w:t xml:space="preserve"> </w:t>
      </w:r>
      <w:r w:rsidR="00FB1D9A" w:rsidRPr="00460F4C">
        <w:rPr>
          <w:sz w:val="28"/>
          <w:szCs w:val="28"/>
        </w:rPr>
        <w:t>по экономике и управлению муниципальн</w:t>
      </w:r>
      <w:r w:rsidR="00FB1D9A">
        <w:rPr>
          <w:sz w:val="28"/>
          <w:szCs w:val="28"/>
        </w:rPr>
        <w:t xml:space="preserve">ым </w:t>
      </w:r>
      <w:r w:rsidR="00FB1D9A" w:rsidRPr="00460F4C">
        <w:rPr>
          <w:sz w:val="28"/>
          <w:szCs w:val="28"/>
        </w:rPr>
        <w:t>имуществом</w:t>
      </w:r>
      <w:r w:rsidR="00FB1D9A" w:rsidRPr="004052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комитет по экономике), </w:t>
      </w:r>
      <w:r w:rsidR="00FB1D9A">
        <w:rPr>
          <w:sz w:val="28"/>
          <w:szCs w:val="28"/>
        </w:rPr>
        <w:t>управление</w:t>
      </w:r>
      <w:r w:rsidR="007869F9">
        <w:rPr>
          <w:sz w:val="28"/>
          <w:szCs w:val="28"/>
        </w:rPr>
        <w:t>м</w:t>
      </w:r>
      <w:r w:rsidR="00FB1D9A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 xml:space="preserve">.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 компетенции юридического отдела относятся следующие функции: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подготовка и представление главе </w:t>
      </w:r>
      <w:r w:rsidR="00FB1D9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на утверждение правового акта об антимонопольном комплаенсе (внесение изменений в правовой акт об антимонопольном комплаенсе), а также правовых актов администрации, регламентирующих процедуры антимонопольного комплаенса;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выявление комплаенс-рисков, учет обстоятельств, связанных с комплаенс-рисками, определение вероятности возникновения комплаенс-рисков;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осуществление сбора в структурных подразделениях администрации сведений о наличии нарушений антимонопольного законодательства;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информирование главы </w:t>
      </w:r>
      <w:r w:rsidR="00FB1D9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информирование уполномоченных лиц структурных подразделений администрации о проектах правовых актов, которые могут повлечь нарушение антимонопольного законодательства;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участие в формировании перечня ключевых показателей эффективности функционирования в администрации антимонопольного комплаенса; </w:t>
      </w:r>
    </w:p>
    <w:p w:rsidR="008C4C1D" w:rsidRDefault="008C4C1D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представление в комитет по экономике сведений о выявленных за отчетный год нарушениях антимонопольного законодат</w:t>
      </w:r>
      <w:r w:rsidR="00FB1D9A">
        <w:rPr>
          <w:sz w:val="28"/>
          <w:szCs w:val="28"/>
        </w:rPr>
        <w:t>ельства и информации о нарушени</w:t>
      </w:r>
      <w:r>
        <w:rPr>
          <w:sz w:val="28"/>
          <w:szCs w:val="28"/>
        </w:rPr>
        <w:t xml:space="preserve">ях, позицию антимонопольного органа, сведения о мерах по устранению нарушения; </w:t>
      </w:r>
    </w:p>
    <w:p w:rsidR="008C4C1D" w:rsidRDefault="00FB1D9A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C4C1D">
        <w:rPr>
          <w:sz w:val="28"/>
          <w:szCs w:val="28"/>
        </w:rPr>
        <w:t xml:space="preserve">) консультирование муниципальных служащих администрации по вопросам, связанным с соблюдением антимонопольного законодательства и антимонопольным комплаенсом; </w:t>
      </w:r>
    </w:p>
    <w:p w:rsidR="008C4C1D" w:rsidRDefault="00FB1D9A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C4C1D">
        <w:rPr>
          <w:sz w:val="28"/>
          <w:szCs w:val="28"/>
        </w:rPr>
        <w:t xml:space="preserve">) составление перечня нарушений антимонопольного законодательства Российской Федерации в деятельности администрации; </w:t>
      </w:r>
    </w:p>
    <w:p w:rsidR="008C4C1D" w:rsidRDefault="00FB1D9A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C4C1D">
        <w:rPr>
          <w:sz w:val="28"/>
          <w:szCs w:val="28"/>
        </w:rPr>
        <w:t xml:space="preserve">) взаимодействие с антимонопольным органом и содействие ему в части, касающейся вопросов, связанных с проводимыми проверками; </w:t>
      </w:r>
    </w:p>
    <w:p w:rsidR="008C4C1D" w:rsidRDefault="00FB1D9A" w:rsidP="00FB1D9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8C4C1D">
        <w:rPr>
          <w:sz w:val="28"/>
          <w:szCs w:val="28"/>
        </w:rPr>
        <w:t xml:space="preserve">) участие в проверках, связанных с нарушениями, выявленными в ходе контроля соответствия деятельности муниципальных служащих требованиям антимонопольного законодательства и участие в них в порядке, установленном действующим законодательством.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 полномочиям комитета по экономике относятся следующие функции: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выявление и оценка в рамках своей компетенции рисков нарушения антимонопольного законодательства;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подготовка на основании предложений структурных подразделений администрации и представление на утверждение главе </w:t>
      </w:r>
      <w:r w:rsidR="00923E25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: карты комплаенс-рисков; плана мероприятий («дорожная карта») по снижению рисков нарушения антимонопольного законодательства;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формирование перечня ключевых показателей эффективности функционирования в администрации антимонопольного комплаенса;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подготовка проекта ежегодного доклада об антимонопольном комплаенсе в администрации на основании информации структурных подразделений администрации и подведомственных ей учреждений;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проведение систематической оценки эффективности разработанных и реализуемых совместно со структурными подразделениями администрации мероприятий по снижению рисков нарушения антимонопольного законодательства;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организация взаимодействия с другими структурными подразделениями по вопросам, связанным с антимонопольным комплаенсом;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координация взаимодействия с коллегиальным органом.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 полномочиям управления делами относятся следующие функции: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ознакомление гражданина Российской Федерации с Положением при поступлении на муниципальную службу в администрацию;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выявление конфликта интересов в деятельности муниципальных служащих администрации и структурных подразделений администрации, принятие мер по устранению причин и условий, способствующих его возникновению;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разработка процедуры внутреннего расследования, связанного с функционированием антимонопольного комплаенса;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организация внутреннего расследования, связанного с функционированием антимонопольного комплаенса и участие в них;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инициирование проверок, связанных с нарушениями, выявленными в ходе контроля соответствия деятельности сотрудников требованиям антимонопольного законодательства, и участие в них в порядке, установленном действующим законодательством и правовыми актами администрации;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участие в формировании перечня ключевых показателей эффективности функционирования в администрации антимонопольного комплаенса;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ж) обеспечение размещения на официальном сайте </w:t>
      </w:r>
      <w:r w:rsidR="007869F9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материалов по вопросам соблюдения антимонопольного законодательства и антимонопольного комплаенса.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Оценку эффективности организации и функционирования антимонопольного комплаенса в </w:t>
      </w:r>
      <w:r w:rsidR="00923E2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осуществляет коллегиальный орган – комиссия по осуществлению оценки эффективности антимонопольного комплаенса </w:t>
      </w:r>
      <w:r w:rsidR="00923E2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(далее по тексту-Комиссия в соответствующем падеже).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К функциям коллегиального органа относится: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рассмотрение и оценка мероприятий администрации в части, касающейся функционирования антимонопольного комплаенса;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рассмотрение и утверждение доклада об антимонопольном комплаенсе.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Порядок работы комиссии: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В состав Комиссии входят председатель Комиссии, заместитель председателя Комиссии, секретарь Комиссии и члены Комиссии.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Персональный состав Комиссии утверждается </w:t>
      </w:r>
      <w:r w:rsidR="00E5570B">
        <w:rPr>
          <w:sz w:val="28"/>
          <w:szCs w:val="28"/>
        </w:rPr>
        <w:t>постановлением</w:t>
      </w:r>
      <w:r w:rsidR="00A42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E5570B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Табунск</w:t>
      </w:r>
      <w:r w:rsidR="00E5570B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Алтайского края.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Заседание Комиссии является правомочным, если на нем присутствуют не менее половины ее членов. Члены Комиссии участвуют в ее заседаниях без права замены.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 На заседании Комиссии председательствует ее председатель, либо заместитель председателя.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2.7.5. Во время заседания Комиссии секретарем ведется протокол. В период отсутствия секретаря протокол ведется одним из членов Комиссии по поручению председателя Комиссии.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2.7.6. 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2.7.7. Результаты голосования, оглашенные председателем Комиссии, вносятся в протокол заседания Комиссии, в котором указываются: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комиссии;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дата, время и место проведения заседания;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сведения о присутствующих и отсутствующих членах комиссии, иных лицах, присутствующих на заседании;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повестка дня;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наименование вопросов, рассмотренных на заседании комиссии, и ход их обсуждения;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результаты голосования по вопросам, обсуждаемым на заседании комиссии;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решение, принятое по рассматриваемому вопросу. </w:t>
      </w:r>
    </w:p>
    <w:p w:rsidR="00FB1D9A" w:rsidRDefault="00FB1D9A" w:rsidP="00923E2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2.7.8. Протокол заседания Комиссии подписывается председательствующим на заседании Комиссии и секретарем заседания Комиссии.</w:t>
      </w:r>
    </w:p>
    <w:p w:rsidR="00D22FF6" w:rsidRDefault="00D22FF6" w:rsidP="00D22FF6">
      <w:pPr>
        <w:pStyle w:val="Default"/>
        <w:jc w:val="center"/>
        <w:rPr>
          <w:sz w:val="28"/>
          <w:szCs w:val="28"/>
        </w:rPr>
      </w:pPr>
    </w:p>
    <w:p w:rsidR="008C4C1D" w:rsidRDefault="008C4C1D" w:rsidP="00D22FF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III. Выявление и оценка рисков нарушения администрацией антимонопольного законодательства (комплаенс-рисков)</w:t>
      </w:r>
    </w:p>
    <w:p w:rsidR="00D22FF6" w:rsidRDefault="008C4C1D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целях выявления рисков нарушения антимонопольного законодательства юридическим отделом </w:t>
      </w:r>
      <w:r w:rsidR="00D22FF6">
        <w:rPr>
          <w:sz w:val="28"/>
          <w:szCs w:val="28"/>
        </w:rPr>
        <w:t xml:space="preserve">проводится экспертиза проектов нормативных правовых актов администрации на предмет их соответствия антимонопольному законодательству. </w:t>
      </w:r>
    </w:p>
    <w:p w:rsidR="00D22FF6" w:rsidRDefault="00D22FF6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Не позднее </w:t>
      </w:r>
      <w:r w:rsidR="0093586D">
        <w:rPr>
          <w:sz w:val="28"/>
          <w:szCs w:val="28"/>
        </w:rPr>
        <w:t xml:space="preserve">15 января, года следующего за </w:t>
      </w:r>
      <w:r>
        <w:rPr>
          <w:sz w:val="28"/>
          <w:szCs w:val="28"/>
        </w:rPr>
        <w:t>отчетн</w:t>
      </w:r>
      <w:r w:rsidR="0093586D">
        <w:rPr>
          <w:sz w:val="28"/>
          <w:szCs w:val="28"/>
        </w:rPr>
        <w:t>ым</w:t>
      </w:r>
      <w:r>
        <w:rPr>
          <w:sz w:val="28"/>
          <w:szCs w:val="28"/>
        </w:rPr>
        <w:t xml:space="preserve"> юридическим отделом проводится:</w:t>
      </w:r>
    </w:p>
    <w:p w:rsidR="008C4C1D" w:rsidRDefault="00D22FF6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C1D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администрации за предыдущие 3 года (наличие предостережений, предупреждений, штрафов, возбужденных дел); </w:t>
      </w:r>
    </w:p>
    <w:p w:rsidR="008C4C1D" w:rsidRDefault="008C4C1D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анализ действующих нормативных правовых актов администрации,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</w:t>
      </w:r>
      <w:r w:rsidR="00D22FF6">
        <w:rPr>
          <w:sz w:val="28"/>
          <w:szCs w:val="28"/>
        </w:rPr>
        <w:t>тимонопольного законодательства;</w:t>
      </w:r>
    </w:p>
    <w:p w:rsidR="008C4C1D" w:rsidRDefault="008C4C1D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2FF6">
        <w:rPr>
          <w:sz w:val="28"/>
          <w:szCs w:val="28"/>
        </w:rPr>
        <w:t>3</w:t>
      </w:r>
      <w:r>
        <w:rPr>
          <w:sz w:val="28"/>
          <w:szCs w:val="28"/>
        </w:rPr>
        <w:t xml:space="preserve">. При проведении анализа выявленных нарушений юридический отдел осуществляет: </w:t>
      </w:r>
    </w:p>
    <w:p w:rsidR="008C4C1D" w:rsidRDefault="008C4C1D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сбор в структурных подразделениях администрации сведений о наличии нарушений антимонопольного законодательства; </w:t>
      </w:r>
    </w:p>
    <w:p w:rsidR="008C4C1D" w:rsidRDefault="008C4C1D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представление в комитет по экономике сведений о выявленных за отчетный год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в администрацию на недопущение повторения нарушения. </w:t>
      </w:r>
    </w:p>
    <w:p w:rsidR="008C4C1D" w:rsidRDefault="008C4C1D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2FF6">
        <w:rPr>
          <w:sz w:val="28"/>
          <w:szCs w:val="28"/>
        </w:rPr>
        <w:t>4</w:t>
      </w:r>
      <w:r>
        <w:rPr>
          <w:sz w:val="28"/>
          <w:szCs w:val="28"/>
        </w:rPr>
        <w:t xml:space="preserve">. При проведении правовой экспертизы действующих нормативных правовых актов администрации, юридический отдел проверяет их на наличие комплаенс-риска и вносит предложения главе </w:t>
      </w:r>
      <w:r w:rsidR="00D22FF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о внесении изменений в нормативные правовые акты администрации при наличии в них противоречий антимонопольному законодательству. </w:t>
      </w:r>
    </w:p>
    <w:p w:rsidR="008C4C1D" w:rsidRDefault="008C4C1D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2FF6">
        <w:rPr>
          <w:sz w:val="28"/>
          <w:szCs w:val="28"/>
        </w:rPr>
        <w:t>5</w:t>
      </w:r>
      <w:r>
        <w:rPr>
          <w:sz w:val="28"/>
          <w:szCs w:val="28"/>
        </w:rPr>
        <w:t xml:space="preserve">. При проведении правовой экспертизы проектов нормативных правовых актов администрации юридический отдел проверяет их на предмет соответствия антимонопольному законодательству. </w:t>
      </w:r>
    </w:p>
    <w:p w:rsidR="008C4C1D" w:rsidRDefault="008C4C1D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2FF6">
        <w:rPr>
          <w:sz w:val="28"/>
          <w:szCs w:val="28"/>
        </w:rPr>
        <w:t>6</w:t>
      </w:r>
      <w:r>
        <w:rPr>
          <w:sz w:val="28"/>
          <w:szCs w:val="28"/>
        </w:rPr>
        <w:t xml:space="preserve">. Выявляемые риски нарушения антимонопольного законодательства распределяются по уровням согласно приложению 1. </w:t>
      </w:r>
    </w:p>
    <w:p w:rsidR="008C4C1D" w:rsidRDefault="008C4C1D" w:rsidP="00D22FF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22FF6">
        <w:rPr>
          <w:sz w:val="28"/>
          <w:szCs w:val="28"/>
        </w:rPr>
        <w:t>7</w:t>
      </w:r>
      <w:r>
        <w:rPr>
          <w:sz w:val="28"/>
          <w:szCs w:val="28"/>
        </w:rPr>
        <w:t xml:space="preserve">. По результатам проведения оценки рисков, выявленных по результатам проведенных мероприятий по антимонопольному комплаенсу, юридический отдел направляет до </w:t>
      </w:r>
      <w:r w:rsidR="0093586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C41AE2">
        <w:rPr>
          <w:sz w:val="28"/>
          <w:szCs w:val="28"/>
        </w:rPr>
        <w:t xml:space="preserve">января, года следующего за </w:t>
      </w:r>
      <w:r w:rsidR="0093586D">
        <w:rPr>
          <w:sz w:val="28"/>
          <w:szCs w:val="28"/>
        </w:rPr>
        <w:t>отчетным</w:t>
      </w:r>
      <w:r>
        <w:rPr>
          <w:sz w:val="28"/>
          <w:szCs w:val="28"/>
        </w:rPr>
        <w:t>, предложения в комитет по экономике для составления карты комплаенс-рисков нарушения антимонопольного законодательства</w:t>
      </w:r>
      <w:r w:rsidR="008F0160">
        <w:rPr>
          <w:sz w:val="28"/>
          <w:szCs w:val="28"/>
        </w:rPr>
        <w:t xml:space="preserve"> на следующий за отчетным год</w:t>
      </w:r>
      <w:r>
        <w:rPr>
          <w:sz w:val="28"/>
          <w:szCs w:val="28"/>
        </w:rPr>
        <w:t xml:space="preserve">. </w:t>
      </w:r>
    </w:p>
    <w:p w:rsidR="008F0160" w:rsidRDefault="008C4C1D" w:rsidP="008F0160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0160">
        <w:rPr>
          <w:sz w:val="28"/>
          <w:szCs w:val="28"/>
        </w:rPr>
        <w:t>8</w:t>
      </w:r>
      <w:r>
        <w:rPr>
          <w:sz w:val="28"/>
          <w:szCs w:val="28"/>
        </w:rPr>
        <w:t xml:space="preserve">. Выявляемые риски нарушения антимонопольного законодательства распределяются в карте комплаенс-рисков по уровням согласно приложению 1 к настоящему положению. </w:t>
      </w:r>
    </w:p>
    <w:p w:rsidR="008F0160" w:rsidRDefault="008F0160" w:rsidP="008F0160">
      <w:pPr>
        <w:pStyle w:val="Default"/>
        <w:ind w:firstLine="720"/>
        <w:jc w:val="both"/>
        <w:rPr>
          <w:sz w:val="28"/>
          <w:szCs w:val="28"/>
        </w:rPr>
      </w:pPr>
    </w:p>
    <w:p w:rsidR="008C4C1D" w:rsidRDefault="008C4C1D" w:rsidP="008F0160">
      <w:pPr>
        <w:pStyle w:val="Defaul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IV. Карта комплаенс-рисков администрации</w:t>
      </w:r>
    </w:p>
    <w:p w:rsidR="008C4C1D" w:rsidRDefault="008C4C1D" w:rsidP="008F0160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Карта комплаенс-рисков нарушения антимонопольного законодательства, по форме согласно приложению 2 к настоящему положению, составляется комитетом по экономике до </w:t>
      </w:r>
      <w:r w:rsidR="00F3252C">
        <w:rPr>
          <w:sz w:val="28"/>
          <w:szCs w:val="28"/>
        </w:rPr>
        <w:t>2</w:t>
      </w:r>
      <w:r w:rsidR="003446E0">
        <w:rPr>
          <w:sz w:val="28"/>
          <w:szCs w:val="28"/>
        </w:rPr>
        <w:t>5</w:t>
      </w:r>
      <w:r w:rsidR="008F0160">
        <w:rPr>
          <w:sz w:val="28"/>
          <w:szCs w:val="28"/>
        </w:rPr>
        <w:t xml:space="preserve"> </w:t>
      </w:r>
      <w:r w:rsidR="003446E0">
        <w:rPr>
          <w:sz w:val="28"/>
          <w:szCs w:val="28"/>
        </w:rPr>
        <w:t xml:space="preserve">января, года следующего за отчетным </w:t>
      </w:r>
      <w:r w:rsidR="00F3252C">
        <w:rPr>
          <w:sz w:val="28"/>
          <w:szCs w:val="28"/>
        </w:rPr>
        <w:t xml:space="preserve">на </w:t>
      </w:r>
      <w:r w:rsidR="003446E0">
        <w:rPr>
          <w:sz w:val="28"/>
          <w:szCs w:val="28"/>
        </w:rPr>
        <w:t>текущий</w:t>
      </w:r>
      <w:r w:rsidR="00F3252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на основании предложений юридического отдела, структурных подразделений администрации. </w:t>
      </w:r>
    </w:p>
    <w:p w:rsidR="008C4C1D" w:rsidRDefault="008C4C1D" w:rsidP="008F0160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карту комплаенс-рисков администрации включаются: </w:t>
      </w:r>
    </w:p>
    <w:p w:rsidR="008C4C1D" w:rsidRDefault="008C4C1D" w:rsidP="00923E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выявленные риски (их описание); </w:t>
      </w:r>
    </w:p>
    <w:p w:rsidR="008C4C1D" w:rsidRDefault="008C4C1D" w:rsidP="00923E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описание причин возникновения рисков; </w:t>
      </w:r>
    </w:p>
    <w:p w:rsidR="008C4C1D" w:rsidRDefault="008C4C1D" w:rsidP="00923E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описание условий возникновения рисков. </w:t>
      </w:r>
    </w:p>
    <w:p w:rsidR="008C4C1D" w:rsidRDefault="008C4C1D" w:rsidP="008F0160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Карта комплаенс-рисков утверждается главой </w:t>
      </w:r>
      <w:r w:rsidR="008F016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 подлежит размещению на официальном </w:t>
      </w:r>
      <w:r w:rsidR="000A4002">
        <w:rPr>
          <w:sz w:val="28"/>
          <w:szCs w:val="28"/>
        </w:rPr>
        <w:t xml:space="preserve">сайте </w:t>
      </w:r>
      <w:r w:rsidR="008F0160" w:rsidRPr="00CE522C">
        <w:rPr>
          <w:rStyle w:val="31"/>
        </w:rPr>
        <w:t>admtabrn.gosuslugi.ru в информационно-телекоммуникационной сети «Интернет»</w:t>
      </w:r>
      <w:r>
        <w:rPr>
          <w:sz w:val="28"/>
          <w:szCs w:val="28"/>
        </w:rPr>
        <w:t xml:space="preserve"> в срок не позднее </w:t>
      </w:r>
      <w:r w:rsidR="003446E0">
        <w:rPr>
          <w:sz w:val="28"/>
          <w:szCs w:val="28"/>
        </w:rPr>
        <w:t>31</w:t>
      </w:r>
      <w:r w:rsidR="00F3252C">
        <w:rPr>
          <w:sz w:val="28"/>
          <w:szCs w:val="28"/>
        </w:rPr>
        <w:t xml:space="preserve"> </w:t>
      </w:r>
      <w:r w:rsidR="003446E0">
        <w:rPr>
          <w:sz w:val="28"/>
          <w:szCs w:val="28"/>
        </w:rPr>
        <w:t>января, года следующего за отчетным</w:t>
      </w:r>
      <w:r>
        <w:rPr>
          <w:sz w:val="28"/>
          <w:szCs w:val="28"/>
        </w:rPr>
        <w:t xml:space="preserve">. </w:t>
      </w:r>
    </w:p>
    <w:p w:rsidR="00F3252C" w:rsidRDefault="00F3252C" w:rsidP="00923E25">
      <w:pPr>
        <w:pStyle w:val="Default"/>
        <w:jc w:val="both"/>
        <w:rPr>
          <w:sz w:val="28"/>
          <w:szCs w:val="28"/>
        </w:rPr>
      </w:pPr>
    </w:p>
    <w:p w:rsidR="008C4C1D" w:rsidRDefault="008C4C1D" w:rsidP="00F3252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V. План мероприятий («дорожная карта») по снижению комплаенс-рисков администрации</w:t>
      </w:r>
    </w:p>
    <w:p w:rsidR="008C4C1D" w:rsidRDefault="008C4C1D" w:rsidP="00F3252C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целях снижения комплаенс-рисков администрации комитетом по экономике на основании предложений юридического отдела, структурных подразделений администрации ежегодно не позднее </w:t>
      </w:r>
      <w:r w:rsidR="00F3252C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3446E0">
        <w:rPr>
          <w:sz w:val="28"/>
          <w:szCs w:val="28"/>
        </w:rPr>
        <w:t>января, года следующего за отчетным</w:t>
      </w:r>
      <w:r>
        <w:rPr>
          <w:sz w:val="28"/>
          <w:szCs w:val="28"/>
        </w:rPr>
        <w:t xml:space="preserve">, разрабатывается план мероприятий («дорожная карта») по снижению комплаенс-рисков (при наличии) </w:t>
      </w:r>
      <w:r w:rsidR="00F3252C">
        <w:rPr>
          <w:sz w:val="28"/>
          <w:szCs w:val="28"/>
        </w:rPr>
        <w:t xml:space="preserve">на </w:t>
      </w:r>
      <w:r w:rsidR="003446E0">
        <w:rPr>
          <w:sz w:val="28"/>
          <w:szCs w:val="28"/>
        </w:rPr>
        <w:t>текущий</w:t>
      </w:r>
      <w:r w:rsidR="00F3252C">
        <w:rPr>
          <w:sz w:val="28"/>
          <w:szCs w:val="28"/>
        </w:rPr>
        <w:t xml:space="preserve"> год </w:t>
      </w:r>
      <w:r>
        <w:rPr>
          <w:sz w:val="28"/>
          <w:szCs w:val="28"/>
        </w:rPr>
        <w:t>по форме согласно приложению 3 к нас</w:t>
      </w:r>
      <w:r w:rsidR="00F3252C">
        <w:rPr>
          <w:sz w:val="28"/>
          <w:szCs w:val="28"/>
        </w:rPr>
        <w:t>тоящему положению</w:t>
      </w:r>
      <w:r>
        <w:rPr>
          <w:sz w:val="28"/>
          <w:szCs w:val="28"/>
        </w:rPr>
        <w:t xml:space="preserve">. </w:t>
      </w:r>
    </w:p>
    <w:p w:rsidR="008C4C1D" w:rsidRDefault="008C4C1D" w:rsidP="000A400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(«дорожная карта») по снижению комплаенс-рисков администрации подлежит пересмотру в случае внесения изменений в карту комплаенс-рисков. </w:t>
      </w:r>
    </w:p>
    <w:p w:rsidR="008C4C1D" w:rsidRDefault="008C4C1D" w:rsidP="000A400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плане мероприятий («дорожной карте») по снижению комплаенс-рисков администрации в обязательном порядке должны быть указаны: </w:t>
      </w:r>
    </w:p>
    <w:p w:rsidR="008C4C1D" w:rsidRDefault="008C4C1D" w:rsidP="00923E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полномочия, реализация которого связана с рисками нарушения антипонопольного законодательства; </w:t>
      </w:r>
    </w:p>
    <w:p w:rsidR="008C4C1D" w:rsidRDefault="008C4C1D" w:rsidP="00923E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описание конкретных действий (мероприятий), направленных на минимизацию и недопущение комплаенс-рисков; </w:t>
      </w:r>
    </w:p>
    <w:p w:rsidR="008C4C1D" w:rsidRDefault="008C4C1D" w:rsidP="00923E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 исполнения мероприятия. </w:t>
      </w:r>
    </w:p>
    <w:p w:rsidR="008C4C1D" w:rsidRDefault="008C4C1D" w:rsidP="000A400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BA4">
        <w:rPr>
          <w:sz w:val="28"/>
          <w:szCs w:val="28"/>
        </w:rPr>
        <w:t>3</w:t>
      </w:r>
      <w:r>
        <w:rPr>
          <w:sz w:val="28"/>
          <w:szCs w:val="28"/>
        </w:rPr>
        <w:t xml:space="preserve">. План мероприятий по снижению комплаенс-рисков утверждается главой </w:t>
      </w:r>
      <w:r w:rsidR="006A32B8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 размещается на официальном сайте </w:t>
      </w:r>
      <w:r w:rsidR="000A4002" w:rsidRPr="00CE522C">
        <w:rPr>
          <w:rStyle w:val="31"/>
        </w:rPr>
        <w:lastRenderedPageBreak/>
        <w:t>admtabrn.gosuslugi.ru в информационно-телекоммуникационной сети «Интернет»</w:t>
      </w:r>
      <w:r w:rsidR="000A4002">
        <w:rPr>
          <w:sz w:val="28"/>
          <w:szCs w:val="28"/>
        </w:rPr>
        <w:t xml:space="preserve"> не позднее 3</w:t>
      </w:r>
      <w:r w:rsidR="003446E0">
        <w:rPr>
          <w:sz w:val="28"/>
          <w:szCs w:val="28"/>
        </w:rPr>
        <w:t>1</w:t>
      </w:r>
      <w:r w:rsidR="000A4002">
        <w:rPr>
          <w:sz w:val="28"/>
          <w:szCs w:val="28"/>
        </w:rPr>
        <w:t xml:space="preserve"> </w:t>
      </w:r>
      <w:r w:rsidR="003446E0">
        <w:rPr>
          <w:sz w:val="28"/>
          <w:szCs w:val="28"/>
        </w:rPr>
        <w:t>января, года следующего за отчетным</w:t>
      </w:r>
      <w:r>
        <w:rPr>
          <w:sz w:val="28"/>
          <w:szCs w:val="28"/>
        </w:rPr>
        <w:t xml:space="preserve">. </w:t>
      </w:r>
    </w:p>
    <w:p w:rsidR="00502BA4" w:rsidRDefault="00502BA4" w:rsidP="00502BA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Комитет по экономике на постоянной основе осуществляет мониторинг исполнения плана мероприятий («дорожной карты») по снижению комплаенс-рисков администрации. </w:t>
      </w:r>
    </w:p>
    <w:p w:rsidR="008C4C1D" w:rsidRDefault="008C4C1D" w:rsidP="000A400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Информация об исполнении плана мероприятий («дорожной карты») по снижению комплаенс-рисков администрации подлежит включению в доклад об антимонопольном комплаенсе. </w:t>
      </w:r>
    </w:p>
    <w:p w:rsidR="000A4002" w:rsidRDefault="000A4002" w:rsidP="00923E25">
      <w:pPr>
        <w:pStyle w:val="Default"/>
        <w:jc w:val="both"/>
        <w:rPr>
          <w:sz w:val="28"/>
          <w:szCs w:val="28"/>
        </w:rPr>
      </w:pPr>
    </w:p>
    <w:p w:rsidR="008C4C1D" w:rsidRDefault="008C4C1D" w:rsidP="000A400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VI. Оценка эффективности антимонопольного комплаенса</w:t>
      </w:r>
    </w:p>
    <w:p w:rsidR="008C4C1D" w:rsidRDefault="008C4C1D" w:rsidP="000A400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В целях оценки эффективности функционирования в администрации антимонопольного комплаенса, комитетом по экономике совместно с юридическим отделом и управлен</w:t>
      </w:r>
      <w:r w:rsidR="000A4002">
        <w:rPr>
          <w:sz w:val="28"/>
          <w:szCs w:val="28"/>
        </w:rPr>
        <w:t xml:space="preserve">ием делами ежегодно не позднее </w:t>
      </w:r>
      <w:r w:rsidR="00502BA4">
        <w:rPr>
          <w:sz w:val="28"/>
          <w:szCs w:val="28"/>
        </w:rPr>
        <w:t xml:space="preserve">25 </w:t>
      </w:r>
      <w:r w:rsidR="003446E0">
        <w:rPr>
          <w:sz w:val="28"/>
          <w:szCs w:val="28"/>
        </w:rPr>
        <w:t>января, года следующего за отчетным</w:t>
      </w:r>
      <w:r w:rsidR="00502BA4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разрабатываются ключевые показатели эффективности функционирования антимонопольного комплаенса</w:t>
      </w:r>
      <w:r w:rsidR="00502BA4">
        <w:rPr>
          <w:sz w:val="28"/>
          <w:szCs w:val="28"/>
        </w:rPr>
        <w:t xml:space="preserve"> </w:t>
      </w:r>
      <w:r w:rsidR="00842047">
        <w:rPr>
          <w:sz w:val="28"/>
          <w:szCs w:val="28"/>
        </w:rPr>
        <w:t>на следующий</w:t>
      </w:r>
      <w:r w:rsidR="00502BA4">
        <w:rPr>
          <w:sz w:val="28"/>
          <w:szCs w:val="28"/>
        </w:rPr>
        <w:t xml:space="preserve"> за отчетным год</w:t>
      </w:r>
      <w:r>
        <w:rPr>
          <w:sz w:val="28"/>
          <w:szCs w:val="28"/>
        </w:rPr>
        <w:t xml:space="preserve">. </w:t>
      </w:r>
      <w:r w:rsidR="00502BA4">
        <w:rPr>
          <w:sz w:val="28"/>
          <w:szCs w:val="28"/>
        </w:rPr>
        <w:t>Ключевые показатели эффективности функционирования антимонопольного комплаенса утверждаются главой муниципального округа не позднее 3</w:t>
      </w:r>
      <w:r w:rsidR="003446E0">
        <w:rPr>
          <w:sz w:val="28"/>
          <w:szCs w:val="28"/>
        </w:rPr>
        <w:t>1</w:t>
      </w:r>
      <w:r w:rsidR="00502BA4">
        <w:rPr>
          <w:sz w:val="28"/>
          <w:szCs w:val="28"/>
        </w:rPr>
        <w:t xml:space="preserve"> </w:t>
      </w:r>
      <w:r w:rsidR="003446E0">
        <w:rPr>
          <w:sz w:val="28"/>
          <w:szCs w:val="28"/>
        </w:rPr>
        <w:t>января, года следующего за отчетным</w:t>
      </w:r>
      <w:r w:rsidR="00502BA4">
        <w:rPr>
          <w:sz w:val="28"/>
          <w:szCs w:val="28"/>
        </w:rPr>
        <w:t>.</w:t>
      </w:r>
    </w:p>
    <w:p w:rsidR="008C4C1D" w:rsidRDefault="00E80063" w:rsidP="006A32B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8C4C1D">
        <w:rPr>
          <w:sz w:val="28"/>
          <w:szCs w:val="28"/>
        </w:rPr>
        <w:t xml:space="preserve">. Ключевые показатели эффективности функционирования в администрации антимонопольного комплаенса устанавливаются для администрации в целом. Данные показатели разрабатываются в соответствии с методикой расчета ключевых показателей эффективности, разработанной Федеральной антимонопольной службой. </w:t>
      </w:r>
    </w:p>
    <w:p w:rsidR="008C4C1D" w:rsidRDefault="00E80063" w:rsidP="006A32B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8C4C1D">
        <w:rPr>
          <w:sz w:val="28"/>
          <w:szCs w:val="28"/>
        </w:rPr>
        <w:t xml:space="preserve"> Оценка эффективности организации и функционирования антимонопольного комплаенса осуществляется коллегиальным органом</w:t>
      </w:r>
      <w:r>
        <w:rPr>
          <w:sz w:val="28"/>
          <w:szCs w:val="28"/>
        </w:rPr>
        <w:t xml:space="preserve"> не позднее 1 февраля года, следующего за отчетным</w:t>
      </w:r>
      <w:r w:rsidR="00844558">
        <w:rPr>
          <w:sz w:val="28"/>
          <w:szCs w:val="28"/>
        </w:rPr>
        <w:t>.</w:t>
      </w:r>
      <w:r w:rsidR="008C4C1D">
        <w:rPr>
          <w:sz w:val="28"/>
          <w:szCs w:val="28"/>
        </w:rPr>
        <w:t xml:space="preserve"> </w:t>
      </w:r>
    </w:p>
    <w:p w:rsidR="00E80063" w:rsidRDefault="00E80063" w:rsidP="006A32B8">
      <w:pPr>
        <w:pStyle w:val="Default"/>
        <w:ind w:firstLine="720"/>
        <w:jc w:val="both"/>
        <w:rPr>
          <w:sz w:val="28"/>
          <w:szCs w:val="28"/>
        </w:rPr>
      </w:pPr>
    </w:p>
    <w:p w:rsidR="008C4C1D" w:rsidRDefault="008C4C1D" w:rsidP="00E8006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VII. Доклад об антимонопольном комплаенсе</w:t>
      </w:r>
    </w:p>
    <w:p w:rsidR="008C4C1D" w:rsidRDefault="008C4C1D" w:rsidP="00E80063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Доклад об антимонопольном комплаенсе должен содержать информацию: </w:t>
      </w:r>
    </w:p>
    <w:p w:rsidR="008C4C1D" w:rsidRDefault="008C4C1D" w:rsidP="00E80063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 результатах проведенной оценки комплаенс-рисков; </w:t>
      </w:r>
    </w:p>
    <w:p w:rsidR="008C4C1D" w:rsidRDefault="008C4C1D" w:rsidP="00E80063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 исполнении мероприятий по снижению комплаенс-рисков; </w:t>
      </w:r>
    </w:p>
    <w:p w:rsidR="008C4C1D" w:rsidRDefault="008C4C1D" w:rsidP="00E80063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 достижении ключевых показателей эффективности антимонопольного комплаенса. </w:t>
      </w:r>
    </w:p>
    <w:p w:rsidR="008C4C1D" w:rsidRDefault="008C4C1D" w:rsidP="0084455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В целях подготовки доклада об антимонопольном комплаенсе, структурными подразделениями администрации</w:t>
      </w:r>
      <w:r w:rsidR="00844558">
        <w:rPr>
          <w:sz w:val="28"/>
          <w:szCs w:val="28"/>
        </w:rPr>
        <w:t>, Комиссией,</w:t>
      </w:r>
      <w:r>
        <w:rPr>
          <w:sz w:val="28"/>
          <w:szCs w:val="28"/>
        </w:rPr>
        <w:t xml:space="preserve"> </w:t>
      </w:r>
      <w:r w:rsidR="00844558">
        <w:rPr>
          <w:sz w:val="28"/>
          <w:szCs w:val="28"/>
        </w:rPr>
        <w:t>не позднее 5</w:t>
      </w:r>
      <w:r>
        <w:rPr>
          <w:sz w:val="28"/>
          <w:szCs w:val="28"/>
        </w:rPr>
        <w:t xml:space="preserve"> </w:t>
      </w:r>
      <w:r w:rsidR="00844558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года, следующего за отчетным, в комитет по экономике предоставляется информация о реализации антимонопольного комплаенса в соответствии с возложенными настоящим положением функциями. </w:t>
      </w:r>
    </w:p>
    <w:p w:rsidR="008C4C1D" w:rsidRDefault="008C4C1D" w:rsidP="0084455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Проект доклада об антимонопольном комплаенсе формируется ежегодно комитетом по экономике и представляется на утверждение коллегиальному органу до 1</w:t>
      </w:r>
      <w:r w:rsidR="00D8544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844558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года, следующего за отчетным. </w:t>
      </w:r>
    </w:p>
    <w:p w:rsidR="008C4C1D" w:rsidRDefault="008C4C1D" w:rsidP="0084455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44558">
        <w:rPr>
          <w:sz w:val="28"/>
          <w:szCs w:val="28"/>
        </w:rPr>
        <w:t>4</w:t>
      </w:r>
      <w:r>
        <w:rPr>
          <w:sz w:val="28"/>
          <w:szCs w:val="28"/>
        </w:rPr>
        <w:t xml:space="preserve">. Утвержденный доклад об антимонопольном комплаенсе размещается управлением делами на официальном сайте </w:t>
      </w:r>
      <w:r w:rsidR="00844558" w:rsidRPr="00CE522C">
        <w:rPr>
          <w:rStyle w:val="31"/>
        </w:rPr>
        <w:t xml:space="preserve">admtabrn.gosuslugi.ru </w:t>
      </w:r>
      <w:r w:rsidR="00844558" w:rsidRPr="00CE522C">
        <w:rPr>
          <w:rStyle w:val="31"/>
        </w:rPr>
        <w:lastRenderedPageBreak/>
        <w:t>в информационно-телекоммуникационной сети «Интернет»</w:t>
      </w:r>
      <w:r w:rsidR="00844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течение </w:t>
      </w:r>
      <w:r w:rsidR="00844558">
        <w:rPr>
          <w:sz w:val="28"/>
          <w:szCs w:val="28"/>
        </w:rPr>
        <w:t>5 дней</w:t>
      </w:r>
      <w:r>
        <w:rPr>
          <w:sz w:val="28"/>
          <w:szCs w:val="28"/>
        </w:rPr>
        <w:t xml:space="preserve"> с момента его утверждения. </w:t>
      </w:r>
    </w:p>
    <w:p w:rsidR="00844558" w:rsidRDefault="00844558" w:rsidP="00844558">
      <w:pPr>
        <w:pStyle w:val="Default"/>
        <w:ind w:firstLine="720"/>
        <w:jc w:val="both"/>
        <w:rPr>
          <w:sz w:val="28"/>
          <w:szCs w:val="28"/>
        </w:rPr>
      </w:pPr>
    </w:p>
    <w:p w:rsidR="008C4C1D" w:rsidRDefault="008C4C1D" w:rsidP="008445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VIII. Ознакомление муниципальных служащих администрации с требованиями антимонопольного законодательства и антимонопольным комплаенсом</w:t>
      </w:r>
    </w:p>
    <w:p w:rsidR="00BE7B00" w:rsidRDefault="008C4C1D" w:rsidP="00BE7B00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 При поступлении на работу в администрацию</w:t>
      </w:r>
      <w:r w:rsidR="007217B1">
        <w:rPr>
          <w:sz w:val="28"/>
          <w:szCs w:val="28"/>
        </w:rPr>
        <w:t>,</w:t>
      </w:r>
      <w:r>
        <w:rPr>
          <w:sz w:val="28"/>
          <w:szCs w:val="28"/>
        </w:rPr>
        <w:t xml:space="preserve"> управление делами обеспечивает ознакомление гражданина Российской Федерации с Положением (вводный (первичный) инструктаж). </w:t>
      </w:r>
    </w:p>
    <w:p w:rsidR="008C4C1D" w:rsidRDefault="008C4C1D" w:rsidP="007217B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Целевой (внеплановый) инструктаж может осуществляться в форме доведения до заинтересованных структурных подразделений администрации информационных сообщений, селекторных совещаний с участием территориальных органов Федеральной антимонопольной службы Российской Федерации. </w:t>
      </w:r>
    </w:p>
    <w:p w:rsidR="008C4C1D" w:rsidRDefault="008C4C1D" w:rsidP="007217B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Информация о проведении ознакомления муниципальных служащих с антимонопольным комплаенсом, а также о проведении обучающих мероприятий включается в доклад об антимонопольном комплаенсе. </w:t>
      </w:r>
    </w:p>
    <w:p w:rsidR="007217B1" w:rsidRDefault="007217B1" w:rsidP="007217B1">
      <w:pPr>
        <w:pStyle w:val="Default"/>
        <w:ind w:firstLine="720"/>
        <w:jc w:val="both"/>
        <w:rPr>
          <w:sz w:val="28"/>
          <w:szCs w:val="28"/>
        </w:rPr>
      </w:pPr>
    </w:p>
    <w:p w:rsidR="008C4C1D" w:rsidRDefault="008C4C1D" w:rsidP="007217B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IX. Ответственность</w:t>
      </w:r>
    </w:p>
    <w:p w:rsidR="008C4C1D" w:rsidRDefault="008C4C1D" w:rsidP="007217B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Уполномоченные подразделения, связанные с организацией и функционированием антимонопольного копмлаенса нес</w:t>
      </w:r>
      <w:r w:rsidR="007217B1">
        <w:rPr>
          <w:sz w:val="28"/>
          <w:szCs w:val="28"/>
        </w:rPr>
        <w:t>у</w:t>
      </w:r>
      <w:r>
        <w:rPr>
          <w:sz w:val="28"/>
          <w:szCs w:val="28"/>
        </w:rPr>
        <w:t xml:space="preserve">т ответственность за организацию и функционирование антимонопольного комплаенса в администрации в соответствии с законодательством Российской Федерации. </w:t>
      </w:r>
    </w:p>
    <w:p w:rsidR="008C4C1D" w:rsidRDefault="008C4C1D" w:rsidP="007217B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Муниципальные служащие администрации несут дисциплинарную ответственность в соответствии с действующим законодательством за неисполнение внутренних документов администрации, регламентирующих процедуры и мероприятия антимонопольного комплаенса. </w:t>
      </w:r>
    </w:p>
    <w:p w:rsidR="007217B1" w:rsidRDefault="007217B1" w:rsidP="007217B1">
      <w:pPr>
        <w:pStyle w:val="Default"/>
        <w:ind w:firstLine="720"/>
        <w:jc w:val="both"/>
        <w:rPr>
          <w:sz w:val="28"/>
          <w:szCs w:val="28"/>
        </w:rPr>
      </w:pPr>
    </w:p>
    <w:p w:rsidR="007217B1" w:rsidRDefault="007217B1" w:rsidP="007217B1">
      <w:pPr>
        <w:pStyle w:val="Default"/>
        <w:ind w:firstLine="720"/>
        <w:jc w:val="both"/>
        <w:rPr>
          <w:sz w:val="28"/>
          <w:szCs w:val="28"/>
        </w:rPr>
      </w:pPr>
    </w:p>
    <w:tbl>
      <w:tblPr>
        <w:tblStyle w:val="a7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7217B1" w:rsidRPr="00896176" w:rsidTr="00896176">
        <w:tc>
          <w:tcPr>
            <w:tcW w:w="4671" w:type="dxa"/>
          </w:tcPr>
          <w:p w:rsidR="007217B1" w:rsidRPr="00896176" w:rsidRDefault="007217B1" w:rsidP="007217B1">
            <w:pPr>
              <w:pStyle w:val="Default"/>
              <w:pageBreakBefore/>
              <w:jc w:val="both"/>
            </w:pPr>
            <w:r w:rsidRPr="00896176">
              <w:lastRenderedPageBreak/>
              <w:t xml:space="preserve">Приложение 1 </w:t>
            </w:r>
          </w:p>
          <w:p w:rsidR="007217B1" w:rsidRPr="00896176" w:rsidRDefault="007217B1" w:rsidP="007217B1">
            <w:pPr>
              <w:jc w:val="both"/>
              <w:rPr>
                <w:sz w:val="24"/>
                <w:szCs w:val="24"/>
              </w:rPr>
            </w:pPr>
            <w:r w:rsidRPr="00896176">
              <w:rPr>
                <w:sz w:val="24"/>
                <w:szCs w:val="24"/>
              </w:rPr>
              <w:t xml:space="preserve">к </w:t>
            </w:r>
            <w:sdt>
              <w:sdtPr>
                <w:rPr>
                  <w:sz w:val="24"/>
                  <w:szCs w:val="24"/>
                </w:rPr>
                <w:alias w:val="Текст приложения"/>
                <w:tag w:val="Текст приложения"/>
                <w:id w:val="2103217356"/>
                <w:placeholder>
                  <w:docPart w:val="CB20E15B01AB414EB263E830F0FD6A9A"/>
                </w:placeholder>
              </w:sdtPr>
              <w:sdtEndPr/>
              <w:sdtContent>
                <w:r w:rsidRPr="00896176">
                  <w:rPr>
                    <w:color w:val="000000"/>
                    <w:sz w:val="24"/>
                    <w:szCs w:val="24"/>
                  </w:rPr>
                  <w:t>Положению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округа Табунский район Алтайского края</w:t>
                </w:r>
              </w:sdtContent>
            </w:sdt>
          </w:p>
          <w:p w:rsidR="007217B1" w:rsidRPr="00896176" w:rsidRDefault="007217B1" w:rsidP="007217B1">
            <w:pPr>
              <w:pStyle w:val="Default"/>
              <w:jc w:val="both"/>
            </w:pPr>
            <w:r w:rsidRPr="00896176">
              <w:t xml:space="preserve"> </w:t>
            </w:r>
          </w:p>
        </w:tc>
      </w:tr>
    </w:tbl>
    <w:p w:rsidR="007217B1" w:rsidRDefault="007217B1" w:rsidP="007217B1">
      <w:pPr>
        <w:pStyle w:val="Default"/>
        <w:ind w:firstLine="720"/>
        <w:jc w:val="both"/>
        <w:rPr>
          <w:sz w:val="28"/>
          <w:szCs w:val="28"/>
        </w:rPr>
      </w:pPr>
    </w:p>
    <w:p w:rsidR="007217B1" w:rsidRDefault="007217B1" w:rsidP="007217B1">
      <w:pPr>
        <w:pStyle w:val="Default"/>
        <w:ind w:firstLine="720"/>
        <w:jc w:val="center"/>
        <w:rPr>
          <w:b/>
          <w:sz w:val="28"/>
          <w:szCs w:val="28"/>
        </w:rPr>
      </w:pPr>
      <w:r w:rsidRPr="007217B1">
        <w:rPr>
          <w:b/>
          <w:sz w:val="28"/>
          <w:szCs w:val="28"/>
        </w:rPr>
        <w:t>УРОВНИ РИСКОВ НАРУШЕНИЯ АНТИМОНОПОЛЬНОГО ЗАКОНОДАТЕЛЬСТВА</w:t>
      </w:r>
    </w:p>
    <w:p w:rsidR="007217B1" w:rsidRDefault="007217B1" w:rsidP="007217B1">
      <w:pPr>
        <w:pStyle w:val="Default"/>
        <w:ind w:firstLine="72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217B1" w:rsidTr="00896176">
        <w:tc>
          <w:tcPr>
            <w:tcW w:w="4672" w:type="dxa"/>
          </w:tcPr>
          <w:p w:rsidR="007217B1" w:rsidRDefault="007217B1" w:rsidP="007217B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риска</w:t>
            </w:r>
          </w:p>
        </w:tc>
        <w:tc>
          <w:tcPr>
            <w:tcW w:w="4672" w:type="dxa"/>
          </w:tcPr>
          <w:p w:rsidR="007217B1" w:rsidRDefault="007217B1" w:rsidP="007217B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риска</w:t>
            </w:r>
          </w:p>
        </w:tc>
      </w:tr>
      <w:tr w:rsidR="007217B1" w:rsidTr="00896176">
        <w:tc>
          <w:tcPr>
            <w:tcW w:w="4672" w:type="dxa"/>
          </w:tcPr>
          <w:p w:rsidR="007217B1" w:rsidRDefault="007217B1" w:rsidP="007217B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4672" w:type="dxa"/>
          </w:tcPr>
          <w:p w:rsidR="007217B1" w:rsidRDefault="007217B1" w:rsidP="007217B1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Администрации муниципального округа Табунский район </w:t>
            </w:r>
            <w:r w:rsidR="00B31F84">
              <w:rPr>
                <w:sz w:val="28"/>
                <w:szCs w:val="28"/>
              </w:rPr>
              <w:t xml:space="preserve">Алтайского края </w:t>
            </w:r>
            <w:r>
              <w:rPr>
                <w:sz w:val="28"/>
                <w:szCs w:val="28"/>
              </w:rPr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7217B1" w:rsidTr="00896176">
        <w:tc>
          <w:tcPr>
            <w:tcW w:w="4672" w:type="dxa"/>
          </w:tcPr>
          <w:p w:rsidR="007217B1" w:rsidRDefault="007217B1" w:rsidP="007217B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4672" w:type="dxa"/>
          </w:tcPr>
          <w:p w:rsidR="007217B1" w:rsidRDefault="007217B1" w:rsidP="007217B1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вероятность выдачи </w:t>
            </w:r>
            <w:r w:rsidR="00B31F84">
              <w:rPr>
                <w:sz w:val="28"/>
                <w:szCs w:val="28"/>
              </w:rPr>
              <w:t xml:space="preserve">Администрации муниципального округа Табунский район Алтайского края </w:t>
            </w:r>
            <w:r>
              <w:rPr>
                <w:sz w:val="28"/>
                <w:szCs w:val="28"/>
              </w:rPr>
              <w:t>предупреждения</w:t>
            </w:r>
          </w:p>
        </w:tc>
      </w:tr>
      <w:tr w:rsidR="007217B1" w:rsidTr="00896176">
        <w:tc>
          <w:tcPr>
            <w:tcW w:w="4672" w:type="dxa"/>
          </w:tcPr>
          <w:p w:rsidR="007217B1" w:rsidRDefault="007217B1" w:rsidP="007217B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4672" w:type="dxa"/>
          </w:tcPr>
          <w:p w:rsidR="007217B1" w:rsidRDefault="007217B1" w:rsidP="007217B1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вероятность выдачи </w:t>
            </w:r>
            <w:r w:rsidR="00B31F84">
              <w:rPr>
                <w:sz w:val="28"/>
                <w:szCs w:val="28"/>
              </w:rPr>
              <w:t xml:space="preserve">Администрации муниципального округа Табунский район Алтайского края </w:t>
            </w:r>
            <w:r>
              <w:rPr>
                <w:sz w:val="28"/>
                <w:szCs w:val="28"/>
              </w:rPr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7217B1" w:rsidTr="00896176">
        <w:tc>
          <w:tcPr>
            <w:tcW w:w="4672" w:type="dxa"/>
          </w:tcPr>
          <w:p w:rsidR="007217B1" w:rsidRDefault="007217B1" w:rsidP="007217B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4672" w:type="dxa"/>
          </w:tcPr>
          <w:p w:rsidR="007217B1" w:rsidRDefault="007217B1" w:rsidP="00B31F8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вероятность выдачи </w:t>
            </w:r>
            <w:r w:rsidR="00B31F84">
              <w:rPr>
                <w:sz w:val="28"/>
                <w:szCs w:val="28"/>
              </w:rPr>
              <w:t xml:space="preserve">Администрации муниципального округа Табунский район Алтайского края </w:t>
            </w:r>
            <w:r>
              <w:rPr>
                <w:sz w:val="28"/>
                <w:szCs w:val="28"/>
              </w:rPr>
              <w:t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  <w:tr w:rsidR="00896176" w:rsidTr="00896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668" w:type="dxa"/>
        </w:trPr>
        <w:tc>
          <w:tcPr>
            <w:tcW w:w="4671" w:type="dxa"/>
          </w:tcPr>
          <w:p w:rsidR="00896176" w:rsidRPr="00896176" w:rsidRDefault="00896176" w:rsidP="005521C6">
            <w:pPr>
              <w:pStyle w:val="Default"/>
              <w:pageBreakBefore/>
              <w:jc w:val="both"/>
            </w:pPr>
            <w:r w:rsidRPr="00896176">
              <w:lastRenderedPageBreak/>
              <w:t xml:space="preserve">Приложение 2 </w:t>
            </w:r>
          </w:p>
          <w:p w:rsidR="00896176" w:rsidRPr="00896176" w:rsidRDefault="00896176" w:rsidP="005521C6">
            <w:pPr>
              <w:jc w:val="both"/>
              <w:rPr>
                <w:sz w:val="24"/>
                <w:szCs w:val="24"/>
              </w:rPr>
            </w:pPr>
            <w:r w:rsidRPr="00896176">
              <w:rPr>
                <w:sz w:val="24"/>
                <w:szCs w:val="24"/>
              </w:rPr>
              <w:t xml:space="preserve">к </w:t>
            </w:r>
            <w:sdt>
              <w:sdtPr>
                <w:rPr>
                  <w:sz w:val="24"/>
                  <w:szCs w:val="24"/>
                </w:rPr>
                <w:alias w:val="Текст приложения"/>
                <w:tag w:val="Текст приложения"/>
                <w:id w:val="-1628155175"/>
                <w:placeholder>
                  <w:docPart w:val="BD1D999498494F52B46E9BDFE34556BA"/>
                </w:placeholder>
              </w:sdtPr>
              <w:sdtEndPr/>
              <w:sdtContent>
                <w:r w:rsidRPr="00896176">
                  <w:rPr>
                    <w:color w:val="000000"/>
                    <w:sz w:val="24"/>
                    <w:szCs w:val="24"/>
                  </w:rPr>
                  <w:t>Положению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округа Табунский район Алтайского края</w:t>
                </w:r>
              </w:sdtContent>
            </w:sdt>
          </w:p>
          <w:p w:rsidR="00896176" w:rsidRDefault="00896176" w:rsidP="005521C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96176" w:rsidRDefault="00896176" w:rsidP="00896176">
      <w:pPr>
        <w:pStyle w:val="Default"/>
        <w:jc w:val="right"/>
        <w:rPr>
          <w:sz w:val="28"/>
          <w:szCs w:val="28"/>
        </w:rPr>
      </w:pPr>
    </w:p>
    <w:p w:rsidR="00896176" w:rsidRDefault="00896176" w:rsidP="0089617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Карта комплаенс-рисков</w:t>
      </w:r>
    </w:p>
    <w:p w:rsidR="00896176" w:rsidRDefault="00896176" w:rsidP="008961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0"/>
        <w:gridCol w:w="2268"/>
        <w:gridCol w:w="1985"/>
        <w:gridCol w:w="1843"/>
        <w:gridCol w:w="2268"/>
      </w:tblGrid>
      <w:tr w:rsidR="00FB4FE5" w:rsidRPr="00896176" w:rsidTr="00FB4FE5">
        <w:trPr>
          <w:trHeight w:val="659"/>
        </w:trPr>
        <w:tc>
          <w:tcPr>
            <w:tcW w:w="708" w:type="dxa"/>
          </w:tcPr>
          <w:p w:rsidR="00896176" w:rsidRPr="00896176" w:rsidRDefault="00896176" w:rsidP="00896176">
            <w:pPr>
              <w:pStyle w:val="Default"/>
              <w:jc w:val="center"/>
              <w:rPr>
                <w:sz w:val="28"/>
                <w:szCs w:val="28"/>
              </w:rPr>
            </w:pPr>
            <w:r w:rsidRPr="00896176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560" w:type="dxa"/>
          </w:tcPr>
          <w:p w:rsidR="00896176" w:rsidRPr="00896176" w:rsidRDefault="00896176">
            <w:pPr>
              <w:pStyle w:val="Default"/>
              <w:rPr>
                <w:sz w:val="28"/>
                <w:szCs w:val="28"/>
              </w:rPr>
            </w:pPr>
            <w:r w:rsidRPr="00896176">
              <w:rPr>
                <w:b/>
                <w:bCs/>
                <w:sz w:val="28"/>
                <w:szCs w:val="28"/>
              </w:rPr>
              <w:t xml:space="preserve">Описание рисков </w:t>
            </w:r>
          </w:p>
        </w:tc>
        <w:tc>
          <w:tcPr>
            <w:tcW w:w="2268" w:type="dxa"/>
          </w:tcPr>
          <w:p w:rsidR="00896176" w:rsidRPr="00896176" w:rsidRDefault="00896176">
            <w:pPr>
              <w:pStyle w:val="Default"/>
              <w:rPr>
                <w:sz w:val="28"/>
                <w:szCs w:val="28"/>
              </w:rPr>
            </w:pPr>
            <w:r w:rsidRPr="00896176">
              <w:rPr>
                <w:b/>
                <w:bCs/>
                <w:sz w:val="28"/>
                <w:szCs w:val="28"/>
              </w:rPr>
              <w:t xml:space="preserve">Причины возникновения рисков и их оценка </w:t>
            </w:r>
          </w:p>
        </w:tc>
        <w:tc>
          <w:tcPr>
            <w:tcW w:w="1985" w:type="dxa"/>
          </w:tcPr>
          <w:p w:rsidR="00896176" w:rsidRPr="00896176" w:rsidRDefault="00896176">
            <w:pPr>
              <w:pStyle w:val="Default"/>
              <w:rPr>
                <w:sz w:val="28"/>
                <w:szCs w:val="28"/>
              </w:rPr>
            </w:pPr>
            <w:r w:rsidRPr="00896176">
              <w:rPr>
                <w:b/>
                <w:bCs/>
                <w:sz w:val="28"/>
                <w:szCs w:val="28"/>
              </w:rPr>
              <w:t xml:space="preserve">Мероприятия по минимизации и устранению рисков </w:t>
            </w:r>
          </w:p>
        </w:tc>
        <w:tc>
          <w:tcPr>
            <w:tcW w:w="1843" w:type="dxa"/>
          </w:tcPr>
          <w:p w:rsidR="00896176" w:rsidRPr="00896176" w:rsidRDefault="00896176">
            <w:pPr>
              <w:pStyle w:val="Default"/>
              <w:rPr>
                <w:b/>
                <w:sz w:val="28"/>
                <w:szCs w:val="28"/>
              </w:rPr>
            </w:pPr>
            <w:r w:rsidRPr="00896176">
              <w:rPr>
                <w:b/>
                <w:bCs/>
                <w:sz w:val="28"/>
                <w:szCs w:val="28"/>
              </w:rPr>
              <w:t>Наличие /отсутствие</w:t>
            </w:r>
            <w:r w:rsidR="00FB4FE5">
              <w:rPr>
                <w:b/>
                <w:bCs/>
                <w:sz w:val="28"/>
                <w:szCs w:val="28"/>
              </w:rPr>
              <w:t xml:space="preserve"> </w:t>
            </w:r>
            <w:r w:rsidRPr="00896176">
              <w:rPr>
                <w:b/>
                <w:bCs/>
                <w:sz w:val="28"/>
                <w:szCs w:val="28"/>
              </w:rPr>
              <w:t xml:space="preserve">остаточных рисков </w:t>
            </w:r>
          </w:p>
        </w:tc>
        <w:tc>
          <w:tcPr>
            <w:tcW w:w="2268" w:type="dxa"/>
          </w:tcPr>
          <w:p w:rsidR="00896176" w:rsidRPr="00896176" w:rsidRDefault="00896176">
            <w:pPr>
              <w:pStyle w:val="Default"/>
              <w:rPr>
                <w:sz w:val="28"/>
                <w:szCs w:val="28"/>
              </w:rPr>
            </w:pPr>
            <w:r w:rsidRPr="00896176">
              <w:rPr>
                <w:b/>
                <w:bCs/>
                <w:sz w:val="28"/>
                <w:szCs w:val="28"/>
              </w:rPr>
              <w:t xml:space="preserve">Вероятность повторного возникновения рисков </w:t>
            </w:r>
          </w:p>
        </w:tc>
      </w:tr>
      <w:tr w:rsidR="00FB4FE5" w:rsidTr="00FB4FE5">
        <w:trPr>
          <w:trHeight w:val="659"/>
        </w:trPr>
        <w:tc>
          <w:tcPr>
            <w:tcW w:w="708" w:type="dxa"/>
          </w:tcPr>
          <w:p w:rsidR="00896176" w:rsidRDefault="0089617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96176" w:rsidRDefault="008961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896176" w:rsidRDefault="008961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</w:tcPr>
          <w:p w:rsidR="00896176" w:rsidRDefault="008961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</w:tcPr>
          <w:p w:rsidR="00896176" w:rsidRDefault="008961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:rsidR="00896176" w:rsidRDefault="0089617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tbl>
      <w:tblPr>
        <w:tblStyle w:val="a7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896176" w:rsidTr="00CE78AE">
        <w:tc>
          <w:tcPr>
            <w:tcW w:w="4246" w:type="dxa"/>
          </w:tcPr>
          <w:p w:rsidR="00896176" w:rsidRPr="00896176" w:rsidRDefault="00896176" w:rsidP="00896176">
            <w:pPr>
              <w:pStyle w:val="Default"/>
              <w:pageBreakBefore/>
              <w:jc w:val="both"/>
            </w:pPr>
            <w:r>
              <w:lastRenderedPageBreak/>
              <w:t>П</w:t>
            </w:r>
            <w:r w:rsidRPr="00896176">
              <w:t xml:space="preserve">риложение </w:t>
            </w:r>
            <w:r>
              <w:t>3</w:t>
            </w:r>
            <w:r w:rsidRPr="00896176">
              <w:t xml:space="preserve"> </w:t>
            </w:r>
          </w:p>
          <w:p w:rsidR="00896176" w:rsidRDefault="00896176" w:rsidP="0089617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896176">
              <w:t xml:space="preserve">к </w:t>
            </w:r>
            <w:sdt>
              <w:sdtPr>
                <w:alias w:val="Текст приложения"/>
                <w:tag w:val="Текст приложения"/>
                <w:id w:val="-193935140"/>
                <w:placeholder>
                  <w:docPart w:val="761F832E27B94101972998AD39D60365"/>
                </w:placeholder>
              </w:sdtPr>
              <w:sdtEndPr/>
              <w:sdtContent>
                <w:r w:rsidRPr="00896176">
                  <w:t>Положению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округа Табунский район Алтайского края</w:t>
                </w:r>
              </w:sdtContent>
            </w:sdt>
          </w:p>
        </w:tc>
      </w:tr>
    </w:tbl>
    <w:p w:rsidR="00896176" w:rsidRDefault="00896176" w:rsidP="007217B1">
      <w:pPr>
        <w:pStyle w:val="Default"/>
        <w:ind w:firstLine="720"/>
        <w:jc w:val="center"/>
        <w:rPr>
          <w:b/>
          <w:sz w:val="28"/>
          <w:szCs w:val="28"/>
        </w:rPr>
      </w:pPr>
    </w:p>
    <w:p w:rsidR="00896176" w:rsidRDefault="00896176" w:rsidP="007217B1">
      <w:pPr>
        <w:pStyle w:val="Default"/>
        <w:ind w:firstLine="720"/>
        <w:jc w:val="center"/>
        <w:rPr>
          <w:b/>
          <w:sz w:val="28"/>
          <w:szCs w:val="28"/>
        </w:rPr>
      </w:pPr>
    </w:p>
    <w:p w:rsidR="00896176" w:rsidRDefault="00896176" w:rsidP="0089617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 («дорожная карта») по снижению рисков нарушения антимонопольного законодательства</w:t>
      </w:r>
    </w:p>
    <w:p w:rsidR="00896176" w:rsidRDefault="00896176" w:rsidP="0089617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96176" w:rsidTr="00896176">
        <w:trPr>
          <w:trHeight w:val="449"/>
        </w:trPr>
        <w:tc>
          <w:tcPr>
            <w:tcW w:w="2336" w:type="dxa"/>
          </w:tcPr>
          <w:p w:rsidR="00896176" w:rsidRDefault="00896176" w:rsidP="008961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п/п </w:t>
            </w:r>
          </w:p>
          <w:p w:rsidR="00896176" w:rsidRDefault="00896176" w:rsidP="0089617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176" w:rsidRDefault="00896176" w:rsidP="008961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Мероприятие </w:t>
            </w:r>
          </w:p>
          <w:p w:rsidR="00896176" w:rsidRDefault="00896176" w:rsidP="0089617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176" w:rsidRDefault="00896176" w:rsidP="008961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 </w:t>
            </w:r>
          </w:p>
          <w:p w:rsidR="00896176" w:rsidRDefault="00896176" w:rsidP="0089617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176" w:rsidRDefault="00896176" w:rsidP="0089617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  <w:p w:rsidR="00896176" w:rsidRDefault="00896176" w:rsidP="0089617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896176" w:rsidTr="00896176">
        <w:tc>
          <w:tcPr>
            <w:tcW w:w="2336" w:type="dxa"/>
          </w:tcPr>
          <w:p w:rsidR="00896176" w:rsidRDefault="00896176" w:rsidP="0089617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176" w:rsidRDefault="00896176" w:rsidP="0089617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176" w:rsidRDefault="00896176" w:rsidP="0089617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176" w:rsidRDefault="00896176" w:rsidP="0089617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6176" w:rsidRDefault="00896176" w:rsidP="00896176">
      <w:pPr>
        <w:pStyle w:val="Default"/>
        <w:jc w:val="center"/>
        <w:rPr>
          <w:b/>
          <w:sz w:val="28"/>
          <w:szCs w:val="28"/>
        </w:rPr>
      </w:pPr>
    </w:p>
    <w:p w:rsidR="00896176" w:rsidRPr="007217B1" w:rsidRDefault="00896176" w:rsidP="007217B1">
      <w:pPr>
        <w:pStyle w:val="Default"/>
        <w:ind w:firstLine="720"/>
        <w:jc w:val="center"/>
        <w:rPr>
          <w:b/>
          <w:sz w:val="28"/>
          <w:szCs w:val="28"/>
        </w:rPr>
      </w:pPr>
    </w:p>
    <w:permEnd w:id="314736538"/>
    <w:p w:rsidR="008C4C1D" w:rsidRDefault="008C4C1D" w:rsidP="008C4C1D">
      <w:pPr>
        <w:jc w:val="center"/>
        <w:rPr>
          <w:sz w:val="28"/>
          <w:szCs w:val="28"/>
        </w:rPr>
      </w:pPr>
    </w:p>
    <w:sectPr w:rsidR="008C4C1D" w:rsidSect="001938D2">
      <w:headerReference w:type="first" r:id="rId9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EEE" w:rsidRDefault="00303EEE" w:rsidP="00DD58ED">
      <w:r>
        <w:separator/>
      </w:r>
    </w:p>
  </w:endnote>
  <w:endnote w:type="continuationSeparator" w:id="0">
    <w:p w:rsidR="00303EEE" w:rsidRDefault="00303EEE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EEE" w:rsidRDefault="00303EEE" w:rsidP="00DD58ED">
      <w:r>
        <w:separator/>
      </w:r>
    </w:p>
  </w:footnote>
  <w:footnote w:type="continuationSeparator" w:id="0">
    <w:p w:rsidR="00303EEE" w:rsidRDefault="00303EEE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D9A" w:rsidRDefault="00FB1D9A" w:rsidP="007652E6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6DB65035" wp14:editId="062FF88B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D9A" w:rsidRPr="001F358A" w:rsidRDefault="00FB1D9A" w:rsidP="008C4C1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ocumentProtection w:edit="readOnly" w:enforcement="1" w:cryptProviderType="rsaAES" w:cryptAlgorithmClass="hash" w:cryptAlgorithmType="typeAny" w:cryptAlgorithmSid="14" w:cryptSpinCount="100000" w:hash="61011DBoYhsAzMSFQZeOpLznzkKfp9xkoxWpwXoCaJWymZCViDBPn1F8embsFPY3yRDz5mgLFo5bD2GHV4XF8Q==" w:salt="JaYUoQ7EBKyGSVpMv3ozR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5135A"/>
    <w:rsid w:val="0006098E"/>
    <w:rsid w:val="0006703F"/>
    <w:rsid w:val="000848C9"/>
    <w:rsid w:val="000901C0"/>
    <w:rsid w:val="00096CAB"/>
    <w:rsid w:val="000A1BD6"/>
    <w:rsid w:val="000A4002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870BE"/>
    <w:rsid w:val="001938D2"/>
    <w:rsid w:val="001944C6"/>
    <w:rsid w:val="001B47B4"/>
    <w:rsid w:val="001C0A64"/>
    <w:rsid w:val="001C14C2"/>
    <w:rsid w:val="001C47CE"/>
    <w:rsid w:val="001D515C"/>
    <w:rsid w:val="00200902"/>
    <w:rsid w:val="0022672C"/>
    <w:rsid w:val="00226C46"/>
    <w:rsid w:val="002649E9"/>
    <w:rsid w:val="002845B8"/>
    <w:rsid w:val="00284AD6"/>
    <w:rsid w:val="002B0EAB"/>
    <w:rsid w:val="002B1F83"/>
    <w:rsid w:val="002B44B5"/>
    <w:rsid w:val="002B6BAD"/>
    <w:rsid w:val="002D2BAB"/>
    <w:rsid w:val="002E77A5"/>
    <w:rsid w:val="002F2AD5"/>
    <w:rsid w:val="002F5236"/>
    <w:rsid w:val="00303980"/>
    <w:rsid w:val="00303EEE"/>
    <w:rsid w:val="00324F5F"/>
    <w:rsid w:val="00331DE3"/>
    <w:rsid w:val="003446E0"/>
    <w:rsid w:val="00353AEB"/>
    <w:rsid w:val="00363112"/>
    <w:rsid w:val="0037097F"/>
    <w:rsid w:val="003749A6"/>
    <w:rsid w:val="00385A4D"/>
    <w:rsid w:val="003A2174"/>
    <w:rsid w:val="003A48C2"/>
    <w:rsid w:val="003A6070"/>
    <w:rsid w:val="003C0B98"/>
    <w:rsid w:val="003E23A9"/>
    <w:rsid w:val="003E2E36"/>
    <w:rsid w:val="003F77F9"/>
    <w:rsid w:val="00404C74"/>
    <w:rsid w:val="004218D3"/>
    <w:rsid w:val="00426928"/>
    <w:rsid w:val="00441999"/>
    <w:rsid w:val="00456334"/>
    <w:rsid w:val="00456524"/>
    <w:rsid w:val="004B00D3"/>
    <w:rsid w:val="004B19E2"/>
    <w:rsid w:val="004B55E3"/>
    <w:rsid w:val="004C0FE4"/>
    <w:rsid w:val="004C15AA"/>
    <w:rsid w:val="004E1E14"/>
    <w:rsid w:val="004E6D42"/>
    <w:rsid w:val="004F0169"/>
    <w:rsid w:val="00502BA4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018D3"/>
    <w:rsid w:val="00630590"/>
    <w:rsid w:val="00647CF0"/>
    <w:rsid w:val="006538DF"/>
    <w:rsid w:val="00667710"/>
    <w:rsid w:val="006755BE"/>
    <w:rsid w:val="0068156E"/>
    <w:rsid w:val="00684CC6"/>
    <w:rsid w:val="00692B8F"/>
    <w:rsid w:val="0069772F"/>
    <w:rsid w:val="006A1D6C"/>
    <w:rsid w:val="006A32B8"/>
    <w:rsid w:val="006A35D8"/>
    <w:rsid w:val="006C7985"/>
    <w:rsid w:val="006D05C5"/>
    <w:rsid w:val="006D211D"/>
    <w:rsid w:val="006D36A7"/>
    <w:rsid w:val="006E5270"/>
    <w:rsid w:val="007217B1"/>
    <w:rsid w:val="007234B1"/>
    <w:rsid w:val="00745A78"/>
    <w:rsid w:val="007555CC"/>
    <w:rsid w:val="00761801"/>
    <w:rsid w:val="007652E6"/>
    <w:rsid w:val="00774A02"/>
    <w:rsid w:val="007869F9"/>
    <w:rsid w:val="00796CBC"/>
    <w:rsid w:val="007F21E9"/>
    <w:rsid w:val="007F23DC"/>
    <w:rsid w:val="0081094B"/>
    <w:rsid w:val="00820F41"/>
    <w:rsid w:val="00823153"/>
    <w:rsid w:val="00830E27"/>
    <w:rsid w:val="00842047"/>
    <w:rsid w:val="00844558"/>
    <w:rsid w:val="00860331"/>
    <w:rsid w:val="0086205D"/>
    <w:rsid w:val="00862115"/>
    <w:rsid w:val="008623A6"/>
    <w:rsid w:val="00866D25"/>
    <w:rsid w:val="0087254F"/>
    <w:rsid w:val="0087773B"/>
    <w:rsid w:val="008907AA"/>
    <w:rsid w:val="00896176"/>
    <w:rsid w:val="008C0C36"/>
    <w:rsid w:val="008C4C1D"/>
    <w:rsid w:val="008E5BE0"/>
    <w:rsid w:val="008F0160"/>
    <w:rsid w:val="00907D52"/>
    <w:rsid w:val="00911E4F"/>
    <w:rsid w:val="0092281A"/>
    <w:rsid w:val="00923E25"/>
    <w:rsid w:val="0093586D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40ABB"/>
    <w:rsid w:val="00A42CA9"/>
    <w:rsid w:val="00A61EA4"/>
    <w:rsid w:val="00A741E0"/>
    <w:rsid w:val="00A770A9"/>
    <w:rsid w:val="00AA2722"/>
    <w:rsid w:val="00AD1B4B"/>
    <w:rsid w:val="00AF1A7F"/>
    <w:rsid w:val="00B01042"/>
    <w:rsid w:val="00B16F72"/>
    <w:rsid w:val="00B31F84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D78D6"/>
    <w:rsid w:val="00BE7B00"/>
    <w:rsid w:val="00BF2A56"/>
    <w:rsid w:val="00BF30A0"/>
    <w:rsid w:val="00BF5B2E"/>
    <w:rsid w:val="00C000C8"/>
    <w:rsid w:val="00C03D2A"/>
    <w:rsid w:val="00C17F7F"/>
    <w:rsid w:val="00C41AE2"/>
    <w:rsid w:val="00C63E24"/>
    <w:rsid w:val="00CD35EF"/>
    <w:rsid w:val="00CE0A4E"/>
    <w:rsid w:val="00CE78AE"/>
    <w:rsid w:val="00CF27E7"/>
    <w:rsid w:val="00D22FF6"/>
    <w:rsid w:val="00D277DE"/>
    <w:rsid w:val="00D66B49"/>
    <w:rsid w:val="00D745CB"/>
    <w:rsid w:val="00D85448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5570B"/>
    <w:rsid w:val="00E70D23"/>
    <w:rsid w:val="00E75AEE"/>
    <w:rsid w:val="00E80063"/>
    <w:rsid w:val="00E91C3E"/>
    <w:rsid w:val="00EA0C29"/>
    <w:rsid w:val="00EA1888"/>
    <w:rsid w:val="00EB40BE"/>
    <w:rsid w:val="00EE7ACB"/>
    <w:rsid w:val="00EF090D"/>
    <w:rsid w:val="00EF39B7"/>
    <w:rsid w:val="00F2699A"/>
    <w:rsid w:val="00F3252C"/>
    <w:rsid w:val="00F6725C"/>
    <w:rsid w:val="00F72E18"/>
    <w:rsid w:val="00F7313A"/>
    <w:rsid w:val="00F83E63"/>
    <w:rsid w:val="00F92510"/>
    <w:rsid w:val="00F94836"/>
    <w:rsid w:val="00FB1D9A"/>
    <w:rsid w:val="00FB3B4A"/>
    <w:rsid w:val="00FB4FE5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paragraph" w:customStyle="1" w:styleId="Default">
    <w:name w:val="Default"/>
    <w:rsid w:val="008C4C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5019FD43519E4BDC8A9A12273365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EF7C-9CFF-4525-970D-435F7DBC16E0}"/>
      </w:docPartPr>
      <w:docPartBody>
        <w:p w:rsidR="00D243C9" w:rsidRDefault="00AF7670" w:rsidP="00AF7670">
          <w:pPr>
            <w:pStyle w:val="5019FD43519E4BDC8A9A12273365C8F4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4E2137FAE433CBBE43E0EA89EC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B331E-954F-406A-94B3-1F7D13D69321}"/>
      </w:docPartPr>
      <w:docPartBody>
        <w:p w:rsidR="00D243C9" w:rsidRDefault="00AF7670" w:rsidP="00AF7670">
          <w:pPr>
            <w:pStyle w:val="4044E2137FAE433CBBE43E0EA89EC0E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65A5354BD24245DC96DDFEA8512B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2F303-45BB-4DE4-A1B4-E2C5C5E60A8C}"/>
      </w:docPartPr>
      <w:docPartBody>
        <w:p w:rsidR="00D243C9" w:rsidRDefault="00AF7670" w:rsidP="00AF7670">
          <w:pPr>
            <w:pStyle w:val="65A5354BD24245DC96DDFEA8512BF2DB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DF5CAC1B64FA290D547B40EF7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E6732-351E-42E9-BD24-22B37E252A71}"/>
      </w:docPartPr>
      <w:docPartBody>
        <w:p w:rsidR="00D243C9" w:rsidRDefault="00AF7670" w:rsidP="00AF7670">
          <w:pPr>
            <w:pStyle w:val="D6BDF5CAC1B64FA290D547B40EF7A82D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71940768C4F00B021F91FE473E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41D116-5E5D-4A4D-A2CF-F86A026B40D2}"/>
      </w:docPartPr>
      <w:docPartBody>
        <w:p w:rsidR="00A67036" w:rsidRDefault="00A67036" w:rsidP="00A67036">
          <w:pPr>
            <w:pStyle w:val="E5171940768C4F00B021F91FE473E79D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20E15B01AB414EB263E830F0FD6A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D69EF-5CBB-46D0-961D-584468F5BCDE}"/>
      </w:docPartPr>
      <w:docPartBody>
        <w:p w:rsidR="00DF228E" w:rsidRDefault="00827106" w:rsidP="00827106">
          <w:pPr>
            <w:pStyle w:val="CB20E15B01AB414EB263E830F0FD6A9A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1D999498494F52B46E9BDFE3455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31C4D-31EE-46EF-B6AC-E67C30D2B55C}"/>
      </w:docPartPr>
      <w:docPartBody>
        <w:p w:rsidR="00DF228E" w:rsidRDefault="00827106" w:rsidP="00827106">
          <w:pPr>
            <w:pStyle w:val="BD1D999498494F52B46E9BDFE34556BA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1F832E27B94101972998AD39D603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9D4A6-7D07-45AA-88A0-2320F90CC80A}"/>
      </w:docPartPr>
      <w:docPartBody>
        <w:p w:rsidR="00DF228E" w:rsidRDefault="00827106" w:rsidP="00827106">
          <w:pPr>
            <w:pStyle w:val="761F832E27B94101972998AD39D60365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C175A"/>
    <w:rsid w:val="001C661B"/>
    <w:rsid w:val="002130AC"/>
    <w:rsid w:val="00222B4D"/>
    <w:rsid w:val="002571A7"/>
    <w:rsid w:val="002D55F8"/>
    <w:rsid w:val="002E7940"/>
    <w:rsid w:val="00325B7A"/>
    <w:rsid w:val="003D22CE"/>
    <w:rsid w:val="003D2A58"/>
    <w:rsid w:val="005A3F0A"/>
    <w:rsid w:val="005A56A2"/>
    <w:rsid w:val="005B5CA3"/>
    <w:rsid w:val="005D0008"/>
    <w:rsid w:val="00632D1F"/>
    <w:rsid w:val="00664D55"/>
    <w:rsid w:val="00671733"/>
    <w:rsid w:val="00676176"/>
    <w:rsid w:val="006D5BAB"/>
    <w:rsid w:val="00777464"/>
    <w:rsid w:val="007C1A1D"/>
    <w:rsid w:val="00827106"/>
    <w:rsid w:val="0086767C"/>
    <w:rsid w:val="009473E7"/>
    <w:rsid w:val="00980AF3"/>
    <w:rsid w:val="00A32243"/>
    <w:rsid w:val="00A67036"/>
    <w:rsid w:val="00AF7670"/>
    <w:rsid w:val="00B624B1"/>
    <w:rsid w:val="00B72DA7"/>
    <w:rsid w:val="00BC4224"/>
    <w:rsid w:val="00BE44D7"/>
    <w:rsid w:val="00C359E2"/>
    <w:rsid w:val="00C74C32"/>
    <w:rsid w:val="00C9097C"/>
    <w:rsid w:val="00C97A5D"/>
    <w:rsid w:val="00CB3DC0"/>
    <w:rsid w:val="00CF6A02"/>
    <w:rsid w:val="00D15148"/>
    <w:rsid w:val="00D20D34"/>
    <w:rsid w:val="00D243C9"/>
    <w:rsid w:val="00D27190"/>
    <w:rsid w:val="00D55E75"/>
    <w:rsid w:val="00D97532"/>
    <w:rsid w:val="00D977C5"/>
    <w:rsid w:val="00D97C08"/>
    <w:rsid w:val="00DF228E"/>
    <w:rsid w:val="00E06772"/>
    <w:rsid w:val="00E403F5"/>
    <w:rsid w:val="00E50B52"/>
    <w:rsid w:val="00E62BFD"/>
    <w:rsid w:val="00E727A7"/>
    <w:rsid w:val="00E7520C"/>
    <w:rsid w:val="00EA19D2"/>
    <w:rsid w:val="00EC1F48"/>
    <w:rsid w:val="00ED499C"/>
    <w:rsid w:val="00F25452"/>
    <w:rsid w:val="00F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7106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5019FD43519E4BDC8A9A12273365C8F4">
    <w:name w:val="5019FD43519E4BDC8A9A12273365C8F4"/>
    <w:rsid w:val="00AF7670"/>
  </w:style>
  <w:style w:type="paragraph" w:customStyle="1" w:styleId="4044E2137FAE433CBBE43E0EA89EC0EA">
    <w:name w:val="4044E2137FAE433CBBE43E0EA89EC0EA"/>
    <w:rsid w:val="00AF7670"/>
  </w:style>
  <w:style w:type="paragraph" w:customStyle="1" w:styleId="65A5354BD24245DC96DDFEA8512BF2DB">
    <w:name w:val="65A5354BD24245DC96DDFEA8512BF2DB"/>
    <w:rsid w:val="00AF7670"/>
  </w:style>
  <w:style w:type="paragraph" w:customStyle="1" w:styleId="D6BDF5CAC1B64FA290D547B40EF7A82D">
    <w:name w:val="D6BDF5CAC1B64FA290D547B40EF7A82D"/>
    <w:rsid w:val="00AF7670"/>
  </w:style>
  <w:style w:type="paragraph" w:customStyle="1" w:styleId="E5171940768C4F00B021F91FE473E79D">
    <w:name w:val="E5171940768C4F00B021F91FE473E79D"/>
    <w:rsid w:val="00A67036"/>
  </w:style>
  <w:style w:type="paragraph" w:customStyle="1" w:styleId="5E24E1EEE2014F3A91C29DD8612D025B">
    <w:name w:val="5E24E1EEE2014F3A91C29DD8612D025B"/>
    <w:rsid w:val="00827106"/>
  </w:style>
  <w:style w:type="paragraph" w:customStyle="1" w:styleId="3315FCA2AC7A4D5291F0459ECE8668A1">
    <w:name w:val="3315FCA2AC7A4D5291F0459ECE8668A1"/>
    <w:rsid w:val="00827106"/>
  </w:style>
  <w:style w:type="paragraph" w:customStyle="1" w:styleId="0AC14AA54DDF43BFA39074A52EEE8A68">
    <w:name w:val="0AC14AA54DDF43BFA39074A52EEE8A68"/>
    <w:rsid w:val="00827106"/>
  </w:style>
  <w:style w:type="paragraph" w:customStyle="1" w:styleId="3E142D889E3F4ED1BAED195B37096491">
    <w:name w:val="3E142D889E3F4ED1BAED195B37096491"/>
    <w:rsid w:val="00827106"/>
  </w:style>
  <w:style w:type="paragraph" w:customStyle="1" w:styleId="CB20E15B01AB414EB263E830F0FD6A9A">
    <w:name w:val="CB20E15B01AB414EB263E830F0FD6A9A"/>
    <w:rsid w:val="00827106"/>
  </w:style>
  <w:style w:type="paragraph" w:customStyle="1" w:styleId="BD1D999498494F52B46E9BDFE34556BA">
    <w:name w:val="BD1D999498494F52B46E9BDFE34556BA"/>
    <w:rsid w:val="00827106"/>
  </w:style>
  <w:style w:type="paragraph" w:customStyle="1" w:styleId="23087B861E6243AD8FBFAFDB22DAFB61">
    <w:name w:val="23087B861E6243AD8FBFAFDB22DAFB61"/>
    <w:rsid w:val="00827106"/>
  </w:style>
  <w:style w:type="paragraph" w:customStyle="1" w:styleId="761F832E27B94101972998AD39D60365">
    <w:name w:val="761F832E27B94101972998AD39D60365"/>
    <w:rsid w:val="00827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9834-8B2F-4270-9FB0-916DD0BA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14</Pages>
  <Words>3716</Words>
  <Characters>21187</Characters>
  <Application>Microsoft Office Word</Application>
  <DocSecurity>8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24854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Пользователь Windows</cp:lastModifiedBy>
  <cp:revision>13</cp:revision>
  <cp:lastPrinted>2025-11-26T04:08:00Z</cp:lastPrinted>
  <dcterms:created xsi:type="dcterms:W3CDTF">2026-02-05T08:27:00Z</dcterms:created>
  <dcterms:modified xsi:type="dcterms:W3CDTF">2026-05-13T09:03:00Z</dcterms:modified>
</cp:coreProperties>
</file>